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玉田县林南仓镇人民政府</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2025年部门预算绩效文本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玉田县林南仓镇人民政府编制</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r>
        <w:rPr>
          <w:rFonts w:ascii="方正楷体_GBK" w:eastAsia="方正楷体_GBK" w:hAnsi="方正楷体_GBK" w:cs="方正楷体_GBK"/>
          <w:b/>
          <w:color w:val="000000"/>
          <w:sz w:val="32"/>
        </w:rPr>
        <w:t xml:space="preserve">玉田县财政局审核</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t xml:space="preserve">二、分项绩效目标</w:t>
        </w:r>
        <w:r>
          <w:tab/>
        </w:r>
        <w:r>
          <w:fldChar w:fldCharType="begin"/>
        </w:r>
        <w:r>
          <w:instrText xml:space="preserve">PAGEREF _Toc_2_2_0000000002 \h</w:instrText>
        </w:r>
        <w:r>
          <w:fldChar w:fldCharType="separate"/>
        </w:r>
        <w:r>
          <w:t xml:space="preserve">1</w:t>
        </w:r>
        <w:r>
          <w:fldChar w:fldCharType="end"/>
        </w:r>
      </w:hyperlink>
    </w:p>
    <w:p>
      <w:pPr>
        <w:pStyle w:val="TOC1"/>
        <w:tabs>
          <w:tab w:val="right" w:leader="dot" w:pos="9282"/>
        </w:tabs>
      </w:pPr>
      <w:hyperlink w:anchor="_Toc_2_2_0000000003" w:history="1">
        <w:r>
          <w:t xml:space="preserve">三、工作保障措施</w:t>
        </w:r>
        <w:r>
          <w:tab/>
        </w:r>
        <w:r>
          <w:fldChar w:fldCharType="begin"/>
        </w:r>
        <w:r>
          <w:instrText xml:space="preserve">PAGEREF _Toc_2_2_0000000003 \h</w:instrText>
        </w:r>
        <w:r>
          <w:fldChar w:fldCharType="separate"/>
        </w:r>
        <w:r>
          <w:t xml:space="preserve">5</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t xml:space="preserve">1.安保、环保、安全生产、应急、食药监管绩效目标表</w:t>
        </w:r>
        <w:r>
          <w:tab/>
        </w:r>
        <w:r>
          <w:fldChar w:fldCharType="begin"/>
        </w:r>
        <w:r>
          <w:instrText xml:space="preserve">PAGEREF _Toc_4_4_0000000004 \h</w:instrText>
        </w:r>
        <w:r>
          <w:fldChar w:fldCharType="separate"/>
        </w:r>
        <w:r>
          <w:t xml:space="preserve">7</w:t>
        </w:r>
        <w:r>
          <w:fldChar w:fldCharType="end"/>
        </w:r>
      </w:hyperlink>
    </w:p>
    <w:p>
      <w:pPr>
        <w:pStyle w:val="TOC1"/>
        <w:tabs>
          <w:tab w:val="right" w:leader="dot" w:pos="9282"/>
        </w:tabs>
      </w:pPr>
      <w:hyperlink w:anchor="_Toc_4_4_0000000005" w:history="1">
        <w:r>
          <w:t xml:space="preserve">2.河渠清理及河长制绩效目标表</w:t>
        </w:r>
        <w:r>
          <w:tab/>
        </w:r>
        <w:r>
          <w:fldChar w:fldCharType="begin"/>
        </w:r>
        <w:r>
          <w:instrText xml:space="preserve">PAGEREF _Toc_4_4_0000000005 \h</w:instrText>
        </w:r>
        <w:r>
          <w:fldChar w:fldCharType="separate"/>
        </w:r>
        <w:r>
          <w:t xml:space="preserve">8</w:t>
        </w:r>
        <w:r>
          <w:fldChar w:fldCharType="end"/>
        </w:r>
      </w:hyperlink>
    </w:p>
    <w:p>
      <w:pPr>
        <w:pStyle w:val="TOC1"/>
        <w:tabs>
          <w:tab w:val="right" w:leader="dot" w:pos="9282"/>
        </w:tabs>
      </w:pPr>
      <w:hyperlink w:anchor="_Toc_4_4_0000000006" w:history="1">
        <w:r>
          <w:t xml:space="preserve">3.林南仓残疾人保障金绩效目标表</w:t>
        </w:r>
        <w:r>
          <w:tab/>
        </w:r>
        <w:r>
          <w:fldChar w:fldCharType="begin"/>
        </w:r>
        <w:r>
          <w:instrText xml:space="preserve">PAGEREF _Toc_4_4_0000000006 \h</w:instrText>
        </w:r>
        <w:r>
          <w:fldChar w:fldCharType="separate"/>
        </w:r>
        <w:r>
          <w:t xml:space="preserve">9</w:t>
        </w:r>
        <w:r>
          <w:fldChar w:fldCharType="end"/>
        </w:r>
      </w:hyperlink>
    </w:p>
    <w:p>
      <w:pPr>
        <w:pStyle w:val="TOC1"/>
        <w:tabs>
          <w:tab w:val="right" w:leader="dot" w:pos="9282"/>
        </w:tabs>
      </w:pPr>
      <w:hyperlink w:anchor="_Toc_4_4_0000000007" w:history="1">
        <w:r>
          <w:t xml:space="preserve">4.人武、党团妇建设、纪检、宣传经费绩效目标表</w:t>
        </w:r>
        <w:r>
          <w:tab/>
        </w:r>
        <w:r>
          <w:fldChar w:fldCharType="begin"/>
        </w:r>
        <w:r>
          <w:instrText xml:space="preserve">PAGEREF _Toc_4_4_0000000007 \h</w:instrText>
        </w:r>
        <w:r>
          <w:fldChar w:fldCharType="separate"/>
        </w:r>
        <w:r>
          <w:t xml:space="preserve">10</w:t>
        </w:r>
        <w:r>
          <w:fldChar w:fldCharType="end"/>
        </w:r>
      </w:hyperlink>
    </w:p>
    <w:p>
      <w:pPr>
        <w:pStyle w:val="TOC1"/>
        <w:tabs>
          <w:tab w:val="right" w:leader="dot" w:pos="9282"/>
        </w:tabs>
      </w:pPr>
      <w:hyperlink w:anchor="_Toc_4_4_0000000008" w:history="1">
        <w:r>
          <w:t xml:space="preserve">5.乡镇人大工作站绩效目标表</w:t>
        </w:r>
        <w:r>
          <w:tab/>
        </w:r>
        <w:r>
          <w:fldChar w:fldCharType="begin"/>
        </w:r>
        <w:r>
          <w:instrText xml:space="preserve">PAGEREF _Toc_4_4_0000000008 \h</w:instrText>
        </w:r>
        <w:r>
          <w:fldChar w:fldCharType="separate"/>
        </w:r>
        <w:r>
          <w:t xml:space="preserve">11</w:t>
        </w:r>
        <w:r>
          <w:fldChar w:fldCharType="end"/>
        </w:r>
      </w:hyperlink>
    </w:p>
    <w:p>
      <w:pPr>
        <w:pStyle w:val="TOC1"/>
        <w:tabs>
          <w:tab w:val="right" w:leader="dot" w:pos="9282"/>
        </w:tabs>
      </w:pPr>
      <w:hyperlink w:anchor="_Toc_4_4_0000000009" w:history="1">
        <w:r>
          <w:t xml:space="preserve">6.信访维稳经费绩效目标表</w:t>
        </w:r>
        <w:r>
          <w:tab/>
        </w:r>
        <w:r>
          <w:fldChar w:fldCharType="begin"/>
        </w:r>
        <w:r>
          <w:instrText xml:space="preserve">PAGEREF _Toc_4_4_0000000009 \h</w:instrText>
        </w:r>
        <w:r>
          <w:fldChar w:fldCharType="separate"/>
        </w:r>
        <w:r>
          <w:t xml:space="preserve">12</w:t>
        </w:r>
        <w:r>
          <w:fldChar w:fldCharType="end"/>
        </w:r>
      </w:hyperlink>
    </w:p>
    <w:p>
      <w:pPr/>
      <w:r>
        <w:fldChar w:fldCharType="end"/>
      </w:r>
    </w:p>
    <w:p>
      <w:pPr>
        <w:sectPr>
          <w:footerReference w:type="even" r:id="rId1"/>
          <w:footerReference w:type="default" r:id="rId2"/>
          <w:type w:val="nextPage"/>
          <w:pgSz w:w="11900" w:h="16840" w:orient="portrait"/>
          <w:pgMar w:top="1984" w:right="1304" w:bottom="1134" w:left="1304" w:header="720" w:footer="720" w:gutter="0"/>
          <w:pgBorders/>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整体绩效目标：2025年工作的总体思路是：深入贯彻中央和省、市、县重要会议精神，抓重点、攻难点、破瓶颈、出亮点，在经济发展上突出质量与效益，在镇区建设上突出创新与推广，在环境整治上突出务实与进取，在社会管理上突出服务与保障，确保经济社会发展实现新跃升。</w:t>
      </w:r>
    </w:p>
    <w:p>
      <w:pPr>
        <w:pStyle w:val="插入文本样式-插入总体目标文件"/>
      </w:pPr>
      <w:r>
        <w:t xml:space="preserve">保证工作任务、预算项目绩效指标能准确反映部门绩效完成情况，指标清晰化，可衡量；保证资产及时规范入账，资产报表数据与会计账簿数据相符，体现工作任务的产出和效果，工作任务对应的预算项目有明确的绩效目标，保证绩效目标与部门职责目标、工作任务目标一致，体现预算项目的产出和效果；按照相关法律法规以及资金管理办法规定的用途使用预算资金，用以反映单位预算资金的规范运行情况，符合国家财经法规和财务管理制度规定以及有关专项资金管理办法的规定，资金的拨付有完整的审批程序和手续。部门按照政府信息公开有关规定公开部门预算、执行、决算等相关预算决算信息，用以反映和考核部门预决算管理的公开透明情况。</w:t>
      </w: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分项绩效目标：</w:t>
      </w:r>
    </w:p>
    <w:p>
      <w:pPr>
        <w:pStyle w:val="插入文本样式-插入职责分类绩效目标文件"/>
      </w:pPr>
      <w:r>
        <w:t xml:space="preserve">一、党政综合，绩效目标：负责综合协调、信息反馈、档案管理和机关事务工作；基层党组织建设、党员电化教育管理、机构编制、人事劳资、老干部、干部考核、人大、宣传、统战、纪检、工会、共青团、妇联、武装等工作。加强基层领导班子建设；健全乡镇“两委”组织制度、党内生活制度建设；加强民主集中制建设和民主生活会宏观指导；做好乡镇“两委”干部的培养、选拔和管理工作；做好老干部、干部考核、人大、宣传、统战、纪检、工会、共青团、妇联、武装等工作，党组织建设及党员教育管理，负责乡镇党组织建设；负责乡镇基层组织建设工作；提出党内生活制度建设的意见；指导乡镇党员教育工作 绩效指标：基层组织建设工作的完成情况&gt;=90%，党基层组织建设工作的完成情况：优；保障机关正常运转&gt;=90%，保障机关正常运转：优；落实基层武装工作&gt;=90%，落实基层武装工作：优；保障办案问责、党风建设、监督检查、纪检政策宣传建设等工作顺利开展&gt;=90%，保障办案问责、党风建设、监督检查、纪检政策宣传建设等工作顺利开展：优；保障人大、宣传、统战、工会、共青团、妇联等工作顺利开展&gt;=90%，保障人大、宣传、统战、工会、共青团、妇联等工作顺利开展：优。</w:t>
      </w:r>
    </w:p>
    <w:p>
      <w:pPr>
        <w:pStyle w:val="插入文本样式-插入职责分类绩效目标文件"/>
      </w:pPr>
      <w:r>
        <w:t xml:space="preserve">二、经济发展，绩效目标：负责企业管理、工业、农业、水利、畜牧、林业、第三产业发展规划、招商引资、内外贸易、个体私营经济、国有资产管理等工作；负责协调商品市场流通与经济指标分析工作。负责监督和管理本镇安全生产工作，企业管理、工业、农业、水利、畜牧、林业、第三产业发展规划、招商引资、内外贸易、个体私营经济、国有资产管理等工作要有序推进。抓好本镇的安全生产工作、林业、植树造林、森林防火、病虫害防治。</w:t>
      </w:r>
    </w:p>
    <w:p>
      <w:pPr>
        <w:pStyle w:val="插入文本样式-插入职责分类绩效目标文件"/>
      </w:pPr>
      <w:r>
        <w:t xml:space="preserve">绩效指标：保障林业顺利开展&gt;=90%，保障林业顺利开展：优；保障农业顺利开展&gt;=90%，保障农业顺利开展；优；保障水利顺利开展&gt;=90%，保障水利顺利开展：优；保障工业顺利开展&gt;=90%，保障工业顺利开展：优；保障畜牧业顺利开展&gt;=90%，保障畜牧业顺利开展：优；国有资产做好管理工作&gt;=90%，国有资产做好管理工作；优；保障食药品安全和安全生产&gt;=90%，保障食药品安全和安全生产：优。</w:t>
      </w:r>
    </w:p>
    <w:p>
      <w:pPr>
        <w:pStyle w:val="插入文本样式-插入职责分类绩效目标文件"/>
      </w:pPr>
      <w:r>
        <w:t xml:space="preserve">三、社会事务，绩效目标：负责做好上级各项方针政策、法律法规的贯彻落实；负责低保、优抚、救灾救济、义务兵等民政工作；负责教育、文化、卫生、旅游、移民等工作；负责协调与社会事务相关的其他工作；依据国家劳动和社会保障各项政策法规，开展就业培训，搞好劳务输出，引领农村富余劳动力转移；负责下岗失业人员再就业指导和劳动用工管理工作；负责养老保险、失业保险、医疗保险、工伤保险、女职工生育保险、农村养老保险等社会保障工作；负责企业离退休人员的社会管理工作，落实乡镇养老保险、医疗保险、工伤保险、生育保险、失业保险、农村养老保险、救灾救济、城镇居民社会最低生活保障、扶助残疾人、义务兵等相关政策和社会保障工作；做好教育、文化、卫生、旅游、移民等工作；乡镇养老保险，负责本乡镇居民养老保险费用的收缴、登记、录入等工作。</w:t>
      </w:r>
    </w:p>
    <w:p>
      <w:pPr>
        <w:pStyle w:val="插入文本样式-插入职责分类绩效目标文件"/>
      </w:pPr>
      <w:r>
        <w:t xml:space="preserve">绩效指标：保证乡镇养老保险工作顺利进行&gt;=90%，保证乡镇养老保险工作顺利进行：优；保证乡镇医疗保险工作顺利进行&gt;=90%，保证乡镇医疗保险工作顺利进行：优；保障本乡镇居民的灾情救助、困难救济、医疗救助和困难居民的最低生活保障、五保等工作&gt;=90%，保障本乡镇居民的灾情救助、困难救济、医疗救助和困难居民的最低生活保障、五保等工作：优；保证扶助残疾人工作顺利进行&gt;=90%，保证扶助残疾人工作顺利进行：优；保证本乡镇烈属、伤残军人等优抚工作顺利进行&gt;=90%，保证本乡镇烈属、伤残军人等优抚工作顺利进行：优；促进本乡镇文化发展&gt;=90%，促进本乡镇文化发展：优；指导教育、卫生、旅游、移民等工作&gt;=90%，指导教育、卫生、旅游、移民等工作：优；社会保障正常运转&gt;=90%，社会保障正常运转：优。</w:t>
      </w:r>
    </w:p>
    <w:p>
      <w:pPr>
        <w:pStyle w:val="插入文本样式-插入职责分类绩效目标文件"/>
      </w:pPr>
      <w:r>
        <w:t xml:space="preserve">四：社会治安综合治理，绩效目标：负责研究、拟定本乡镇社会治安综合治理工作计划、阶段性工作方案和措施并组织实施；分析辖区社会治安形势，有针对性地加强社会治安综合治理工作，组织、协调有关部门开展“严打整治”专项斗争，排查整治治安混乱地区和突出治安问题；加强对公安派出所、人民法庭、司法所等基层政法单位以及村委会、治安会、调委会等基层组织建设的指导，定期组织教育培训，提高基层综合人员的整体素质；负责信访和群众工作，做好社会治安综合治理和信访稳定、维稳等各项工作任务。</w:t>
      </w:r>
    </w:p>
    <w:p>
      <w:pPr>
        <w:pStyle w:val="插入文本样式-插入职责分类绩效目标文件"/>
      </w:pPr>
      <w:r>
        <w:t xml:space="preserve">绩效指标：落实乡镇社会治安综合治理工作&gt;=90%，落实乡镇社会治安综合治理工作：优；信访稳定、维稳、解决个性问题&gt;=90%，信访稳定、维稳、解决个性问题：优。</w:t>
      </w:r>
    </w:p>
    <w:p>
      <w:pPr>
        <w:pStyle w:val="插入文本样式-插入职责分类绩效目标文件"/>
      </w:pPr>
      <w:r>
        <w:t xml:space="preserve">五、计划生育，绩效目标：负责贯彻执行人口和计划生育方针政策和法律法规，制定计划生育管理办法和实施细则并组织实施；负责全乡镇人口（包括流动人口）的计划生育工作，制定本乡镇人口发展中长期规划和年度计划，并组织实施；负责指导、监督各村委会和基层计划生育组织的计划生育工作；负责生育指标管理和发动工作；负责违反计划生育案件的查处和政策咨询；负责宣传人口和计划生育的方针政策、法律法规和优生优育、避孕节育等科学知识；承担育龄夫妇避孕、节育、保健和优生技术服务；做好育龄妇女的妇科病普查普治、四项手术随访、艾滋病防治、避孕药具发放等工作；加强基层组织建设，落实奖励政策，政策生育率，负责对各村政策生育率的考核。</w:t>
      </w:r>
    </w:p>
    <w:p>
      <w:pPr>
        <w:pStyle w:val="插入文本样式-插入职责分类绩效目标文件"/>
      </w:pPr>
      <w:r>
        <w:t xml:space="preserve">绩效指标：对各村政策生育率的考核&gt;=90%，对各村政策生育率的考核：优；对各村性别比的考核&gt;=90%，对各村性别比的考核：优；做好流出人员的办证和流入育龄妇女的管理&gt;=90%，做好流出人员的办证和流入育龄妇女的管理：优；做好计划生育优惠政策的落实，加强会员培训&gt;=90%，做好计划生育优惠政策的落实，加强会员培训：优；做好育龄妇女普查普治、四项手术、药具发放和宣传统计工作&gt;=90%，做好育龄妇女普查普治、四项手术、药具发放和宣传统计工作：优。</w:t>
      </w:r>
    </w:p>
    <w:p>
      <w:pPr>
        <w:pStyle w:val="插入文本样式-插入职责分类绩效目标文件"/>
      </w:pPr>
      <w:r>
        <w:t xml:space="preserve">六、城镇规划建设，绩效目标：负责编制的本乡镇总体规划、村庄规划；负责本乡镇建设项目规划管理与施工管理，配合县建设行政主管部门做好城镇规划建设项目工作；负责本乡镇村容村貌、环境卫生、园林绿化以及市政建设等基础设施的管理；负责本乡镇村民住宅建设的管理与服务；负责建设统计、建设台账以及建设档案管理工作，环境整洁，农村环境卫生；负责辖区内各村环境卫生治理。</w:t>
      </w:r>
    </w:p>
    <w:p>
      <w:pPr>
        <w:pStyle w:val="插入文本样式-插入职责分类绩效目标文件"/>
      </w:pPr>
      <w:r>
        <w:t xml:space="preserve">绩效指标：负责辖区内各村环境卫生治理&gt;=90%，负责辖区内各村环境卫生治理：优；乡村道路维护、修建；村委会的改造、翻新&gt;=90%，乡村道路维护、修建；村委会的改造、翻新：优；本镇村民住宅建设的管理与服务&gt;=90%，本镇村民住宅建设的管理与服务：优；本乡镇企业占地、居民住宅占地规划管理征缴工作&gt;=90%，本乡镇企业占地、居民住宅占地规划管理征缴工作：优。</w:t>
      </w: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为实现上述本年度的发展规划目标，我镇主要拟定了以下几项保障措施：</w:t>
      </w:r>
    </w:p>
    <w:p>
      <w:pPr>
        <w:pStyle w:val="插入文本样式-插入实现年度发展规划目标的保障措施文件"/>
      </w:pPr>
      <w:r>
        <w:t xml:space="preserve">1、加大农村人居环境整治工作，成立了领导小组，下设办公室，制定相关细则，全镇村内道路逐步硬化、绿化；</w:t>
      </w:r>
    </w:p>
    <w:p>
      <w:pPr>
        <w:pStyle w:val="插入文本样式-插入实现年度发展规划目标的保障措施文件"/>
      </w:pPr>
      <w:r>
        <w:t xml:space="preserve">2、管理约束各村村干部、计生专干、卫生保洁员，形成制度；</w:t>
      </w:r>
    </w:p>
    <w:p>
      <w:pPr>
        <w:pStyle w:val="插入文本样式-插入实现年度发展规划目标的保障措施文件"/>
      </w:pPr>
      <w:r>
        <w:t xml:space="preserve">3、加强内部监督，坚持抓早、抓实、抓到村，对重难点案件逐步化解，对新的矛盾及时处理，做到小事不出村、镇；</w:t>
      </w:r>
    </w:p>
    <w:p>
      <w:pPr>
        <w:pStyle w:val="插入文本样式-插入实现年度发展规划目标的保障措施文件"/>
      </w:pPr>
      <w:r>
        <w:t xml:space="preserve">4、积极协调村与垃圾清运服务公司的各项事宜。</w:t>
      </w:r>
    </w:p>
    <w:p>
      <w:pPr>
        <w:spacing w:before="0" w:after="0" w:line="240"/>
        <w:ind w:firstLine="0"/>
        <w:jc w:val="center"/>
        <w:outlineLvl w:val="9"/>
        <w:sectPr>
          <w:type w:val="nextPage"/>
          <w:pgSz w:w="11900" w:h="16840" w:orient="portrait"/>
          <w:pgMar w:top="1984" w:right="1304" w:bottom="1134" w:left="1304" w:header="720" w:footer="720" w:gutter="0"/>
          <w:pgBorders/>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pgBorders/>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1.安保、环保、安全生产、应急、食药监管绩效目标表</w:t>
      </w:r>
      <w:bookmarkEnd w:id="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483001玉田县林南仓镇人民政府本级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13022925P00JXC410260P</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安保、环保、安全生产、应急、食药监管</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保证安保、环保、安全生产、食药监管正常运转</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1.保证安保、环保、安全生产、食药监管正常运转</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用款金额20000元</w:t>
            </w:r>
          </w:p>
        </w:tc>
        <w:tc>
          <w:tcPr>
            <w:tcW w:w="2891" w:type="dxa"/>
            <w:vAlign w:val="center"/>
          </w:tcPr>
          <w:p>
            <w:pPr>
              <w:pStyle w:val="单元格样式2"/>
            </w:pPr>
            <w:r>
              <w:t xml:space="preserve">用款金额20000元</w:t>
            </w: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安保、环保、安全生产、食药监管正常运转</w:t>
            </w:r>
          </w:p>
        </w:tc>
        <w:tc>
          <w:tcPr>
            <w:tcW w:w="2891" w:type="dxa"/>
            <w:vAlign w:val="center"/>
          </w:tcPr>
          <w:p>
            <w:pPr>
              <w:pStyle w:val="单元格样式2"/>
            </w:pPr>
            <w:r>
              <w:t xml:space="preserve">安保、环保、安全生产、食药监管正常运转</w:t>
            </w: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资金按时拨付</w:t>
            </w:r>
          </w:p>
        </w:tc>
        <w:tc>
          <w:tcPr>
            <w:tcW w:w="2891" w:type="dxa"/>
            <w:vAlign w:val="center"/>
          </w:tcPr>
          <w:p>
            <w:pPr>
              <w:pStyle w:val="单元格样式2"/>
            </w:pPr>
            <w:r>
              <w:t xml:space="preserve">安保等资金按时拨付</w:t>
            </w: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按成本控制</w:t>
            </w:r>
          </w:p>
        </w:tc>
        <w:tc>
          <w:tcPr>
            <w:tcW w:w="2891" w:type="dxa"/>
            <w:vAlign w:val="center"/>
          </w:tcPr>
          <w:p>
            <w:pPr>
              <w:pStyle w:val="单元格样式2"/>
            </w:pPr>
            <w:r>
              <w:t xml:space="preserve">按成本控制</w:t>
            </w: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促进乡镇经济发展</w:t>
            </w:r>
          </w:p>
        </w:tc>
        <w:tc>
          <w:tcPr>
            <w:tcW w:w="2891" w:type="dxa"/>
            <w:vAlign w:val="center"/>
          </w:tcPr>
          <w:p>
            <w:pPr>
              <w:pStyle w:val="单元格样式2"/>
            </w:pPr>
            <w:r>
              <w:t xml:space="preserve">保证乡镇安全生产，促进乡镇经济发展</w:t>
            </w: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保障社会稳定发展</w:t>
            </w:r>
          </w:p>
        </w:tc>
        <w:tc>
          <w:tcPr>
            <w:tcW w:w="2891" w:type="dxa"/>
            <w:vAlign w:val="center"/>
          </w:tcPr>
          <w:p>
            <w:pPr>
              <w:pStyle w:val="单元格样式2"/>
            </w:pPr>
            <w:r>
              <w:t xml:space="preserve">保障镇内食药监管等稳定发展</w:t>
            </w: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促进乡镇生态环境改善</w:t>
            </w:r>
          </w:p>
        </w:tc>
        <w:tc>
          <w:tcPr>
            <w:tcW w:w="2891" w:type="dxa"/>
            <w:vAlign w:val="center"/>
          </w:tcPr>
          <w:p>
            <w:pPr>
              <w:pStyle w:val="单元格样式2"/>
            </w:pPr>
            <w:r>
              <w:t xml:space="preserve">促进乡镇生态环境改善</w:t>
            </w: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促进乡镇各方面均衡发展</w:t>
            </w:r>
          </w:p>
        </w:tc>
        <w:tc>
          <w:tcPr>
            <w:tcW w:w="2891" w:type="dxa"/>
            <w:vAlign w:val="center"/>
          </w:tcPr>
          <w:p>
            <w:pPr>
              <w:pStyle w:val="单元格样式2"/>
            </w:pPr>
            <w:r>
              <w:t xml:space="preserve">促进安保、环保、安全生产、食药监管均衡发展</w:t>
            </w: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乡镇群众满意度</w:t>
            </w:r>
          </w:p>
        </w:tc>
        <w:tc>
          <w:tcPr>
            <w:tcW w:w="2891" w:type="dxa"/>
            <w:vAlign w:val="center"/>
          </w:tcPr>
          <w:p>
            <w:pPr>
              <w:pStyle w:val="单元格样式2"/>
            </w:pPr>
            <w:r>
              <w:t xml:space="preserve">乡镇群众满意度</w:t>
            </w: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2.河渠清理及河长制绩效目标表</w:t>
      </w:r>
      <w:bookmarkEnd w:id="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483001玉田县林南仓镇人民政府本级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13022925P00016410023X</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河渠清理及河长制</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河渠清理，保护环境，促进社会稳定发展</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1.河渠清理，保护环境，促进社会稳定发展</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资金发放金额</w:t>
            </w:r>
          </w:p>
        </w:tc>
        <w:tc>
          <w:tcPr>
            <w:tcW w:w="2891" w:type="dxa"/>
            <w:vAlign w:val="center"/>
          </w:tcPr>
          <w:p>
            <w:pPr>
              <w:pStyle w:val="单元格样式2"/>
            </w:pPr>
            <w:r>
              <w:t xml:space="preserve">资金发放金额</w:t>
            </w: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河渠清理完成</w:t>
            </w:r>
          </w:p>
        </w:tc>
        <w:tc>
          <w:tcPr>
            <w:tcW w:w="2891" w:type="dxa"/>
            <w:vAlign w:val="center"/>
          </w:tcPr>
          <w:p>
            <w:pPr>
              <w:pStyle w:val="单元格样式2"/>
            </w:pPr>
            <w:r>
              <w:t xml:space="preserve">河渠清理完成</w:t>
            </w: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完工及时率</w:t>
            </w:r>
          </w:p>
        </w:tc>
        <w:tc>
          <w:tcPr>
            <w:tcW w:w="2891" w:type="dxa"/>
            <w:vAlign w:val="center"/>
          </w:tcPr>
          <w:p>
            <w:pPr>
              <w:pStyle w:val="单元格样式2"/>
            </w:pPr>
            <w:r>
              <w:t xml:space="preserve">完工及时率</w:t>
            </w: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按总成本控制</w:t>
            </w:r>
          </w:p>
        </w:tc>
        <w:tc>
          <w:tcPr>
            <w:tcW w:w="2891" w:type="dxa"/>
            <w:vAlign w:val="center"/>
          </w:tcPr>
          <w:p>
            <w:pPr>
              <w:pStyle w:val="单元格样式2"/>
            </w:pPr>
            <w:r>
              <w:t xml:space="preserve">按总成本控制</w:t>
            </w: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改善水环境</w:t>
            </w:r>
          </w:p>
        </w:tc>
        <w:tc>
          <w:tcPr>
            <w:tcW w:w="2891" w:type="dxa"/>
            <w:vAlign w:val="center"/>
          </w:tcPr>
          <w:p>
            <w:pPr>
              <w:pStyle w:val="单元格样式2"/>
            </w:pPr>
            <w:r>
              <w:t xml:space="preserve">改善水环境</w:t>
            </w: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社会稳定水平</w:t>
            </w:r>
          </w:p>
        </w:tc>
        <w:tc>
          <w:tcPr>
            <w:tcW w:w="2891" w:type="dxa"/>
            <w:vAlign w:val="center"/>
          </w:tcPr>
          <w:p>
            <w:pPr>
              <w:pStyle w:val="单元格样式2"/>
            </w:pPr>
            <w:r>
              <w:t xml:space="preserve">社会稳定水平</w:t>
            </w: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改善生态环境质量</w:t>
            </w:r>
          </w:p>
        </w:tc>
        <w:tc>
          <w:tcPr>
            <w:tcW w:w="2891" w:type="dxa"/>
            <w:vAlign w:val="center"/>
          </w:tcPr>
          <w:p>
            <w:pPr>
              <w:pStyle w:val="单元格样式2"/>
            </w:pPr>
            <w:r>
              <w:t xml:space="preserve">改善生态环境质量</w:t>
            </w: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节水意识</w:t>
            </w:r>
          </w:p>
        </w:tc>
        <w:tc>
          <w:tcPr>
            <w:tcW w:w="2891" w:type="dxa"/>
            <w:vAlign w:val="center"/>
          </w:tcPr>
          <w:p>
            <w:pPr>
              <w:pStyle w:val="单元格样式2"/>
            </w:pPr>
            <w:r>
              <w:t xml:space="preserve">群众节水意识</w:t>
            </w: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满意率</w:t>
            </w:r>
          </w:p>
        </w:tc>
        <w:tc>
          <w:tcPr>
            <w:tcW w:w="2891" w:type="dxa"/>
            <w:vAlign w:val="center"/>
          </w:tcPr>
          <w:p>
            <w:pPr>
              <w:pStyle w:val="单元格样式2"/>
            </w:pPr>
            <w:r>
              <w:t xml:space="preserve">群众满意率</w:t>
            </w: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3.林南仓残疾人保障金绩效目标表</w:t>
      </w:r>
      <w:bookmarkEnd w:id="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483001玉田县林南仓镇人民政府本级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13022925P00JXC4195955</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林南仓残疾人保障金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76000.00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76000.00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残疾人保障金按时支付</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1.残疾人保障金按时支付</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拨付金额76000元</w:t>
            </w:r>
          </w:p>
        </w:tc>
        <w:tc>
          <w:tcPr>
            <w:tcW w:w="2891" w:type="dxa"/>
            <w:vAlign w:val="center"/>
          </w:tcPr>
          <w:p>
            <w:pPr>
              <w:pStyle w:val="单元格样式2"/>
            </w:pPr>
            <w:r>
              <w:t xml:space="preserve">拨付金额76000元</w:t>
            </w: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残保金拨付完成率</w:t>
            </w:r>
          </w:p>
        </w:tc>
        <w:tc>
          <w:tcPr>
            <w:tcW w:w="2891" w:type="dxa"/>
            <w:vAlign w:val="center"/>
          </w:tcPr>
          <w:p>
            <w:pPr>
              <w:pStyle w:val="单元格样式2"/>
            </w:pPr>
            <w:r>
              <w:t xml:space="preserve">残保金拨付完成率</w:t>
            </w: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残保金按时拨付</w:t>
            </w:r>
          </w:p>
        </w:tc>
        <w:tc>
          <w:tcPr>
            <w:tcW w:w="2891" w:type="dxa"/>
            <w:vAlign w:val="center"/>
          </w:tcPr>
          <w:p>
            <w:pPr>
              <w:pStyle w:val="单元格样式2"/>
            </w:pPr>
            <w:r>
              <w:t xml:space="preserve">残保金按时拨付</w:t>
            </w: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按总成本控制</w:t>
            </w:r>
          </w:p>
        </w:tc>
        <w:tc>
          <w:tcPr>
            <w:tcW w:w="2891" w:type="dxa"/>
            <w:vAlign w:val="center"/>
          </w:tcPr>
          <w:p>
            <w:pPr>
              <w:pStyle w:val="单元格样式2"/>
            </w:pPr>
            <w:r>
              <w:t xml:space="preserve">按总成本控制</w:t>
            </w: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促进镇内经济发展</w:t>
            </w:r>
          </w:p>
        </w:tc>
        <w:tc>
          <w:tcPr>
            <w:tcW w:w="2891" w:type="dxa"/>
            <w:vAlign w:val="center"/>
          </w:tcPr>
          <w:p>
            <w:pPr>
              <w:pStyle w:val="单元格样式2"/>
            </w:pPr>
            <w:r>
              <w:t xml:space="preserve">促进镇内经济发展</w:t>
            </w: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保障社会稳定</w:t>
            </w:r>
          </w:p>
        </w:tc>
        <w:tc>
          <w:tcPr>
            <w:tcW w:w="2891" w:type="dxa"/>
            <w:vAlign w:val="center"/>
          </w:tcPr>
          <w:p>
            <w:pPr>
              <w:pStyle w:val="单元格样式2"/>
            </w:pPr>
            <w:r>
              <w:t xml:space="preserve">保障社会稳定</w:t>
            </w: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促进生态效益</w:t>
            </w:r>
          </w:p>
        </w:tc>
        <w:tc>
          <w:tcPr>
            <w:tcW w:w="2891" w:type="dxa"/>
            <w:vAlign w:val="center"/>
          </w:tcPr>
          <w:p>
            <w:pPr>
              <w:pStyle w:val="单元格样式2"/>
            </w:pPr>
            <w:r>
              <w:t xml:space="preserve">促进生态效益</w:t>
            </w: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促进镇内稳定持续发展</w:t>
            </w:r>
          </w:p>
        </w:tc>
        <w:tc>
          <w:tcPr>
            <w:tcW w:w="2891" w:type="dxa"/>
            <w:vAlign w:val="center"/>
          </w:tcPr>
          <w:p>
            <w:pPr>
              <w:pStyle w:val="单元格样式2"/>
            </w:pPr>
            <w:r>
              <w:t xml:space="preserve">促进镇内稳定持续发展</w:t>
            </w: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群众满意度</w:t>
            </w: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4.人武、党团妇建设、纪检、宣传经费绩效目标表</w:t>
      </w:r>
      <w:bookmarkEnd w:id="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483001玉田县林南仓镇人民政府本级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13022925P00JXC4102742</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人武、党团妇建设、纪检、宣传经费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维护党团妇建设、纪检、宣传、人武正常运转</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1.维护党团妇建设、纪检、宣传、人武正常运转</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用款金额30000元</w:t>
            </w:r>
          </w:p>
        </w:tc>
        <w:tc>
          <w:tcPr>
            <w:tcW w:w="2891" w:type="dxa"/>
            <w:vAlign w:val="center"/>
          </w:tcPr>
          <w:p>
            <w:pPr>
              <w:pStyle w:val="单元格样式2"/>
            </w:pPr>
            <w:r>
              <w:t xml:space="preserve">用款金额30000元</w:t>
            </w: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党团妇建设等活动顺利开展</w:t>
            </w:r>
          </w:p>
        </w:tc>
        <w:tc>
          <w:tcPr>
            <w:tcW w:w="2891" w:type="dxa"/>
            <w:vAlign w:val="center"/>
          </w:tcPr>
          <w:p>
            <w:pPr>
              <w:pStyle w:val="单元格样式2"/>
            </w:pPr>
            <w:r>
              <w:t xml:space="preserve">党团妇建设等活动顺利开展</w:t>
            </w: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资金按时拨付</w:t>
            </w:r>
          </w:p>
        </w:tc>
        <w:tc>
          <w:tcPr>
            <w:tcW w:w="2891" w:type="dxa"/>
            <w:vAlign w:val="center"/>
          </w:tcPr>
          <w:p>
            <w:pPr>
              <w:pStyle w:val="单元格样式2"/>
            </w:pPr>
            <w:r>
              <w:t xml:space="preserve">党团妇建设等资金按时拨付</w:t>
            </w: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按成本控制</w:t>
            </w:r>
          </w:p>
        </w:tc>
        <w:tc>
          <w:tcPr>
            <w:tcW w:w="2891" w:type="dxa"/>
            <w:vAlign w:val="center"/>
          </w:tcPr>
          <w:p>
            <w:pPr>
              <w:pStyle w:val="单元格样式2"/>
            </w:pPr>
            <w:r>
              <w:t xml:space="preserve">按成本控制</w:t>
            </w: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促进乡镇经济发展</w:t>
            </w:r>
          </w:p>
        </w:tc>
        <w:tc>
          <w:tcPr>
            <w:tcW w:w="2891" w:type="dxa"/>
            <w:vAlign w:val="center"/>
          </w:tcPr>
          <w:p>
            <w:pPr>
              <w:pStyle w:val="单元格样式2"/>
            </w:pPr>
            <w:r>
              <w:t xml:space="preserve">促进乡镇经济发展</w:t>
            </w: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保障社会稳定发展</w:t>
            </w:r>
          </w:p>
        </w:tc>
        <w:tc>
          <w:tcPr>
            <w:tcW w:w="2891" w:type="dxa"/>
            <w:vAlign w:val="center"/>
          </w:tcPr>
          <w:p>
            <w:pPr>
              <w:pStyle w:val="单元格样式2"/>
            </w:pPr>
            <w:r>
              <w:t xml:space="preserve">保障镇内党团妇建设等稳定发展</w:t>
            </w: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促进乡镇各方面均衡发展</w:t>
            </w:r>
          </w:p>
        </w:tc>
        <w:tc>
          <w:tcPr>
            <w:tcW w:w="2891" w:type="dxa"/>
            <w:vAlign w:val="center"/>
          </w:tcPr>
          <w:p>
            <w:pPr>
              <w:pStyle w:val="单元格样式2"/>
            </w:pPr>
            <w:r>
              <w:t xml:space="preserve">促进乡镇党团妇建设等均衡发展</w:t>
            </w: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乡镇群众满意度</w:t>
            </w:r>
          </w:p>
        </w:tc>
        <w:tc>
          <w:tcPr>
            <w:tcW w:w="2891" w:type="dxa"/>
            <w:vAlign w:val="center"/>
          </w:tcPr>
          <w:p>
            <w:pPr>
              <w:pStyle w:val="单元格样式2"/>
            </w:pPr>
            <w:r>
              <w:t xml:space="preserve">乡镇群众满意度</w:t>
            </w: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 w:name="_Toc_4_4_0000000008"/>
      <w:r>
        <w:rPr>
          <w:rFonts w:ascii="方正仿宋_GBK" w:eastAsia="方正仿宋_GBK" w:hAnsi="方正仿宋_GBK" w:cs="方正仿宋_GBK"/>
          <w:color w:val="000000"/>
          <w:sz w:val="28"/>
        </w:rPr>
        <w:t xml:space="preserve">5.乡镇人大工作站绩效目标表</w:t>
      </w:r>
      <w:bookmarkEnd w:id="7"/>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483001玉田县林南仓镇人民政府本级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13022925P00JXC410254A</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乡镇人大工作站</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用于乡镇人大工作站相关支出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1.保证乡镇人大会议、培训等工作顺利开展</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按要求开展人大相关会议次数</w:t>
            </w:r>
          </w:p>
        </w:tc>
        <w:tc>
          <w:tcPr>
            <w:tcW w:w="2891" w:type="dxa"/>
            <w:vAlign w:val="center"/>
          </w:tcPr>
          <w:p>
            <w:pPr>
              <w:pStyle w:val="单元格样式2"/>
            </w:pPr>
            <w:r>
              <w:t xml:space="preserve">按要求开展人大相关会议次数</w:t>
            </w: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人大相关活动顺利开展</w:t>
            </w:r>
          </w:p>
        </w:tc>
        <w:tc>
          <w:tcPr>
            <w:tcW w:w="2891" w:type="dxa"/>
            <w:vAlign w:val="center"/>
          </w:tcPr>
          <w:p>
            <w:pPr>
              <w:pStyle w:val="单元格样式2"/>
            </w:pPr>
            <w:r>
              <w:t xml:space="preserve">人大相关活动顺利开展</w:t>
            </w: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资金按时拨付</w:t>
            </w:r>
          </w:p>
        </w:tc>
        <w:tc>
          <w:tcPr>
            <w:tcW w:w="2891" w:type="dxa"/>
            <w:vAlign w:val="center"/>
          </w:tcPr>
          <w:p>
            <w:pPr>
              <w:pStyle w:val="单元格样式2"/>
            </w:pPr>
            <w:r>
              <w:t xml:space="preserve">人大资金按时拨付</w:t>
            </w: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按成本控制</w:t>
            </w:r>
          </w:p>
        </w:tc>
        <w:tc>
          <w:tcPr>
            <w:tcW w:w="2891" w:type="dxa"/>
            <w:vAlign w:val="center"/>
          </w:tcPr>
          <w:p>
            <w:pPr>
              <w:pStyle w:val="单元格样式2"/>
            </w:pPr>
            <w:r>
              <w:t xml:space="preserve">按成本控制</w:t>
            </w: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促进乡镇经济发展</w:t>
            </w:r>
          </w:p>
        </w:tc>
        <w:tc>
          <w:tcPr>
            <w:tcW w:w="2891" w:type="dxa"/>
            <w:vAlign w:val="center"/>
          </w:tcPr>
          <w:p>
            <w:pPr>
              <w:pStyle w:val="单元格样式2"/>
            </w:pPr>
            <w:r>
              <w:t xml:space="preserve">促进乡镇经济发展</w:t>
            </w: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保障社会稳定发展</w:t>
            </w:r>
          </w:p>
        </w:tc>
        <w:tc>
          <w:tcPr>
            <w:tcW w:w="2891" w:type="dxa"/>
            <w:vAlign w:val="center"/>
          </w:tcPr>
          <w:p>
            <w:pPr>
              <w:pStyle w:val="单元格样式2"/>
            </w:pPr>
            <w:r>
              <w:t xml:space="preserve">保障镇内人大稳定运转</w:t>
            </w: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促进乡镇各方面均衡发展</w:t>
            </w:r>
          </w:p>
        </w:tc>
        <w:tc>
          <w:tcPr>
            <w:tcW w:w="2891" w:type="dxa"/>
            <w:vAlign w:val="center"/>
          </w:tcPr>
          <w:p>
            <w:pPr>
              <w:pStyle w:val="单元格样式2"/>
            </w:pPr>
            <w:r>
              <w:t xml:space="preserve">促进乡镇人大持续发展</w:t>
            </w: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促进乡镇生态环境改善</w:t>
            </w:r>
          </w:p>
        </w:tc>
        <w:tc>
          <w:tcPr>
            <w:tcW w:w="2891" w:type="dxa"/>
            <w:vAlign w:val="center"/>
          </w:tcPr>
          <w:p>
            <w:pPr>
              <w:pStyle w:val="单元格样式2"/>
            </w:pPr>
            <w:r>
              <w:t xml:space="preserve">促进乡镇生态环境改善</w:t>
            </w: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乡镇群众满意度</w:t>
            </w:r>
          </w:p>
        </w:tc>
        <w:tc>
          <w:tcPr>
            <w:tcW w:w="2891" w:type="dxa"/>
            <w:vAlign w:val="center"/>
          </w:tcPr>
          <w:p>
            <w:pPr>
              <w:pStyle w:val="单元格样式2"/>
            </w:pPr>
            <w:r>
              <w:t xml:space="preserve">乡镇群众满意度</w:t>
            </w: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 w:name="_Toc_4_4_0000000009"/>
      <w:r>
        <w:rPr>
          <w:rFonts w:ascii="方正仿宋_GBK" w:eastAsia="方正仿宋_GBK" w:hAnsi="方正仿宋_GBK" w:cs="方正仿宋_GBK"/>
          <w:color w:val="000000"/>
          <w:sz w:val="28"/>
        </w:rPr>
        <w:t xml:space="preserve">6.信访维稳经费绩效目标表</w:t>
      </w:r>
      <w:bookmarkEnd w:id="8"/>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483001玉田县林南仓镇人民政府本级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13022925P00002910013R</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信访维稳经费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80000.00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80000.00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用于解决信访问题</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1.保证信访维稳、稳定，解决个性问题</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信访案件复查率</w:t>
            </w:r>
          </w:p>
        </w:tc>
        <w:tc>
          <w:tcPr>
            <w:tcW w:w="2891" w:type="dxa"/>
            <w:vAlign w:val="center"/>
          </w:tcPr>
          <w:p>
            <w:pPr>
              <w:pStyle w:val="单元格样式2"/>
            </w:pPr>
            <w:r>
              <w:t xml:space="preserve">信访案件复查率</w:t>
            </w: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信访举报办结率</w:t>
            </w:r>
          </w:p>
        </w:tc>
        <w:tc>
          <w:tcPr>
            <w:tcW w:w="2891" w:type="dxa"/>
            <w:vAlign w:val="center"/>
          </w:tcPr>
          <w:p>
            <w:pPr>
              <w:pStyle w:val="单元格样式2"/>
            </w:pPr>
            <w:r>
              <w:t xml:space="preserve">信访举报办结率</w:t>
            </w: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信访事项受理及时率</w:t>
            </w:r>
          </w:p>
        </w:tc>
        <w:tc>
          <w:tcPr>
            <w:tcW w:w="2891" w:type="dxa"/>
            <w:vAlign w:val="center"/>
          </w:tcPr>
          <w:p>
            <w:pPr>
              <w:pStyle w:val="单元格样式2"/>
            </w:pPr>
            <w:r>
              <w:t xml:space="preserve">信访事项受理及时率</w:t>
            </w: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按成本控制</w:t>
            </w:r>
          </w:p>
        </w:tc>
        <w:tc>
          <w:tcPr>
            <w:tcW w:w="2891" w:type="dxa"/>
            <w:vAlign w:val="center"/>
          </w:tcPr>
          <w:p>
            <w:pPr>
              <w:pStyle w:val="单元格样式2"/>
            </w:pPr>
            <w:r>
              <w:t xml:space="preserve">按成本控制</w:t>
            </w: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促进社会稳定</w:t>
            </w:r>
          </w:p>
        </w:tc>
        <w:tc>
          <w:tcPr>
            <w:tcW w:w="2891" w:type="dxa"/>
            <w:vAlign w:val="center"/>
          </w:tcPr>
          <w:p>
            <w:pPr>
              <w:pStyle w:val="单元格样式2"/>
            </w:pPr>
            <w:r>
              <w:t xml:space="preserve">促进社会稳定</w:t>
            </w: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维持乡镇稳定发展</w:t>
            </w:r>
          </w:p>
        </w:tc>
        <w:tc>
          <w:tcPr>
            <w:tcW w:w="2891" w:type="dxa"/>
            <w:vAlign w:val="center"/>
          </w:tcPr>
          <w:p>
            <w:pPr>
              <w:pStyle w:val="单元格样式2"/>
            </w:pPr>
            <w:r>
              <w:t xml:space="preserve">维持乡镇稳定发展，降低信访隐患</w:t>
            </w: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群众满意度</w:t>
            </w: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bl>
    <w:p>
      <w:pPr/>
    </w:p>
    <w:sectPr>
      <w:type w:val="nextPage"/>
      <w:pgSz w:w="11900" w:h="16840" w:orient="portrait"/>
      <w:pgMar w:top="1984" w:right="1304" w:bottom="1134" w:left="1304"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12</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11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16</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2025-01-17T18:16:31Z</dcterms:created>
  <dcterms:modified xsi:type="dcterms:W3CDTF">2025-01-17T18:16:31Z</dcterms:modified>
</cp:coreProperties>
</file>