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玉田县人民政府办公室</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玉田县人民政府办公室编制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1.劳务派遣人员报酬经费绩效目标表</w:t>
      </w:r>
      <w:r>
        <w:tab/>
      </w:r>
      <w:r>
        <w:fldChar w:fldCharType="begin"/>
      </w:r>
      <w:r>
        <w:instrText xml:space="preserve">PAGEREF _Toc_4_4_0000000004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2.残疾人保障金绩效目标表</w:t>
      </w:r>
      <w:r>
        <w:tab/>
      </w:r>
      <w:r>
        <w:fldChar w:fldCharType="begin"/>
      </w:r>
      <w:r>
        <w:instrText xml:space="preserve">PAGEREF _Toc_4_4_0000000005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3.法律顾问服务费绩效目标表</w:t>
      </w:r>
      <w:r>
        <w:tab/>
      </w:r>
      <w:r>
        <w:fldChar w:fldCharType="begin"/>
      </w:r>
      <w:r>
        <w:instrText xml:space="preserve">PAGEREF _Toc_4_4_0000000006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4.防范和打击非法集资专项经费绩效目标表</w:t>
      </w:r>
      <w:r>
        <w:tab/>
      </w:r>
      <w:r>
        <w:fldChar w:fldCharType="begin"/>
      </w:r>
      <w:r>
        <w:instrText xml:space="preserve">PAGEREF _Toc_4_4_0000000007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5.玉田县红十字会专项业务费绩效目标表</w:t>
      </w:r>
      <w:r>
        <w:tab/>
      </w:r>
      <w:r>
        <w:fldChar w:fldCharType="begin"/>
      </w:r>
      <w:r>
        <w:instrText xml:space="preserve">PAGEREF _Toc_4_4_0000000008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6.政府业务费绩效目标表</w:t>
      </w:r>
      <w:r>
        <w:tab/>
      </w:r>
      <w:r>
        <w:fldChar w:fldCharType="begin"/>
      </w:r>
      <w:r>
        <w:instrText xml:space="preserve">PAGEREF _Toc_4_4_0000000009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7.政务服务便民热线外包服务绩效目标表</w:t>
      </w:r>
      <w:r>
        <w:tab/>
      </w:r>
      <w:r>
        <w:fldChar w:fldCharType="begin"/>
      </w:r>
      <w:r>
        <w:instrText xml:space="preserve">PAGEREF _Toc_4_4_0000000010 \h</w:instrText>
      </w:r>
      <w:r>
        <w:fldChar w:fldCharType="separate"/>
      </w:r>
      <w:r>
        <w:t>10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bookmarkStart w:id="10" w:name="_GoBack"/>
      <w:bookmarkEnd w:id="10"/>
    </w:p>
    <w:p>
      <w:pPr>
        <w:pStyle w:val="8"/>
      </w:pPr>
      <w:r>
        <w:t>围绕县政府中心工作和重点工作，加强调查研究，及时了解、反映情况，提出建议，为县领导进行科学决策、部署和指导工作，发挥综合协调和参谋助手作用。组织起草县政府领导重要讲话及其他重要文稿。负责地向上级机关报告各项决策、重要工作部署的贯彻落实情况，及时准确地传达县委、县政府的各项指示和通知。负责县政府文件、电报、会议材料的拟制、印发，及时做好乡镇、各部门呈报县政府的请示、报告等呈阅处理工作。组织做好县以上各种大型重要会议的筹备服务工作。做好县政府全体会议、政府常务会、县长办公会议和专题会议（含现场办公会）等重要会议的记录和会务准备，做好县政府重大决策和重要工作部署的传达落实和检查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w:t>
      </w:r>
    </w:p>
    <w:p>
      <w:pPr>
        <w:pStyle w:val="9"/>
      </w:pPr>
      <w:r>
        <w:t>绩效目标：组织做好重要会议的筹备服务工作。</w:t>
      </w:r>
    </w:p>
    <w:p>
      <w:pPr>
        <w:pStyle w:val="9"/>
      </w:pPr>
      <w:r>
        <w:t>绩效指标：会议服务保障率。</w:t>
      </w:r>
    </w:p>
    <w:p>
      <w:pPr>
        <w:pStyle w:val="9"/>
      </w:pPr>
      <w:r>
        <w:t>（二）</w:t>
      </w:r>
    </w:p>
    <w:p>
      <w:pPr>
        <w:pStyle w:val="9"/>
      </w:pPr>
      <w:r>
        <w:t>绩效目标：保证机关正常运转、日常工作有序开展。</w:t>
      </w:r>
    </w:p>
    <w:p>
      <w:pPr>
        <w:pStyle w:val="9"/>
      </w:pPr>
      <w:r>
        <w:t>绩效指标：办公任务完成率。</w:t>
      </w:r>
    </w:p>
    <w:p>
      <w:pPr>
        <w:pStyle w:val="9"/>
      </w:pPr>
      <w:r>
        <w:t>（三）</w:t>
      </w:r>
    </w:p>
    <w:p>
      <w:pPr>
        <w:pStyle w:val="9"/>
      </w:pPr>
      <w:r>
        <w:t>绩效目标：保障县内金融环境稳定性。</w:t>
      </w:r>
    </w:p>
    <w:p>
      <w:pPr>
        <w:pStyle w:val="9"/>
      </w:pPr>
      <w:r>
        <w:t>绩效指标：宣传活动开展及时率。</w:t>
      </w:r>
    </w:p>
    <w:p>
      <w:pPr>
        <w:pStyle w:val="9"/>
      </w:pPr>
      <w:r>
        <w:t>（四）</w:t>
      </w:r>
    </w:p>
    <w:p>
      <w:pPr>
        <w:pStyle w:val="9"/>
      </w:pPr>
      <w:r>
        <w:t>绩效目标：提升法制政府管理水平。</w:t>
      </w:r>
    </w:p>
    <w:p>
      <w:pPr>
        <w:pStyle w:val="9"/>
      </w:pPr>
      <w:r>
        <w:t>绩效指标：保证法制工作有序开展。</w:t>
      </w:r>
    </w:p>
    <w:p>
      <w:pPr>
        <w:pStyle w:val="9"/>
      </w:pPr>
      <w:r>
        <w:t>（五）</w:t>
      </w:r>
    </w:p>
    <w:p>
      <w:pPr>
        <w:pStyle w:val="9"/>
      </w:pPr>
      <w:r>
        <w:t>绩效目标：保障电子政务中心正常运转。</w:t>
      </w:r>
    </w:p>
    <w:p>
      <w:pPr>
        <w:pStyle w:val="9"/>
      </w:pPr>
      <w:r>
        <w:t>绩效指标：反馈群众反映问题的时效。</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（一）完善制度建设。制定完善预算绩效管理制度、资金管理办法、工作保障制度等，为全年预算绩效目标的实现奠定制度基础。</w:t>
      </w:r>
    </w:p>
    <w:p>
      <w:pPr>
        <w:pStyle w:val="10"/>
      </w:pPr>
      <w:r>
        <w:t>（二）加强支出管理。通过优化支出结构、编细编实预算、及时支付资金，确保支出进度达标。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1.劳务派遣人员报酬经费绩效目标表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434001玉田县人民政府办公室本级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13022925P004R2810661U</w:t>
            </w:r>
          </w:p>
        </w:tc>
        <w:tc>
          <w:tcPr>
            <w:tcW w:w="1587" w:type="dxa"/>
            <w:vAlign w:val="center"/>
          </w:tcPr>
          <w:p>
            <w:pPr>
              <w:pStyle w:val="14"/>
            </w:pPr>
            <w:r>
              <w:t>项目名称</w:t>
            </w:r>
          </w:p>
        </w:tc>
        <w:tc>
          <w:tcPr>
            <w:tcW w:w="4423" w:type="dxa"/>
            <w:gridSpan w:val="3"/>
            <w:vAlign w:val="center"/>
          </w:tcPr>
          <w:p>
            <w:pPr>
              <w:pStyle w:val="13"/>
            </w:pPr>
            <w:r>
              <w:t>劳务派遣人员报酬经费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516541.09</w:t>
            </w:r>
          </w:p>
        </w:tc>
        <w:tc>
          <w:tcPr>
            <w:tcW w:w="1587" w:type="dxa"/>
            <w:vAlign w:val="center"/>
          </w:tcPr>
          <w:p>
            <w:pPr>
              <w:pStyle w:val="14"/>
            </w:pPr>
            <w:r>
              <w:t>其中：财政    资金</w:t>
            </w:r>
          </w:p>
        </w:tc>
        <w:tc>
          <w:tcPr>
            <w:tcW w:w="1304" w:type="dxa"/>
            <w:vAlign w:val="center"/>
          </w:tcPr>
          <w:p>
            <w:pPr>
              <w:pStyle w:val="13"/>
            </w:pPr>
            <w:r>
              <w:t>516541.09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保障劳务派遣人员工资保险相关费用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1.保障劳务派遣人员工资保险相关费用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支付费用人数</w:t>
            </w:r>
          </w:p>
        </w:tc>
        <w:tc>
          <w:tcPr>
            <w:tcW w:w="2891" w:type="dxa"/>
            <w:vAlign w:val="center"/>
          </w:tcPr>
          <w:p>
            <w:pPr>
              <w:pStyle w:val="13"/>
            </w:pPr>
            <w:r>
              <w:t>支付劳务派遣人员费用的人数</w:t>
            </w:r>
          </w:p>
        </w:tc>
        <w:tc>
          <w:tcPr>
            <w:tcW w:w="1276" w:type="dxa"/>
            <w:vAlign w:val="center"/>
          </w:tcPr>
          <w:p>
            <w:pPr>
              <w:pStyle w:val="13"/>
            </w:pPr>
            <w:r>
              <w:t>10人数</w:t>
            </w:r>
          </w:p>
        </w:tc>
        <w:tc>
          <w:tcPr>
            <w:tcW w:w="1843" w:type="dxa"/>
            <w:vAlign w:val="center"/>
          </w:tcPr>
          <w:p>
            <w:pPr>
              <w:pStyle w:val="13"/>
            </w:pPr>
            <w:r>
              <w:t>合同文件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支付费用合规率</w:t>
            </w:r>
          </w:p>
        </w:tc>
        <w:tc>
          <w:tcPr>
            <w:tcW w:w="2891" w:type="dxa"/>
            <w:vAlign w:val="center"/>
          </w:tcPr>
          <w:p>
            <w:pPr>
              <w:pStyle w:val="13"/>
            </w:pPr>
            <w:r>
              <w:t>支付费用合规率</w:t>
            </w:r>
          </w:p>
        </w:tc>
        <w:tc>
          <w:tcPr>
            <w:tcW w:w="1276" w:type="dxa"/>
            <w:vAlign w:val="center"/>
          </w:tcPr>
          <w:p>
            <w:pPr>
              <w:pStyle w:val="13"/>
            </w:pPr>
            <w:r>
              <w:t>100比率</w:t>
            </w:r>
          </w:p>
        </w:tc>
        <w:tc>
          <w:tcPr>
            <w:tcW w:w="1843" w:type="dxa"/>
            <w:vAlign w:val="center"/>
          </w:tcPr>
          <w:p>
            <w:pPr>
              <w:pStyle w:val="13"/>
            </w:pPr>
            <w:r>
              <w:t>人员明细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支付费用到位率</w:t>
            </w:r>
          </w:p>
        </w:tc>
        <w:tc>
          <w:tcPr>
            <w:tcW w:w="2891" w:type="dxa"/>
            <w:vAlign w:val="center"/>
          </w:tcPr>
          <w:p>
            <w:pPr>
              <w:pStyle w:val="13"/>
            </w:pPr>
            <w:r>
              <w:t>支付费用到位率</w:t>
            </w:r>
          </w:p>
        </w:tc>
        <w:tc>
          <w:tcPr>
            <w:tcW w:w="1276" w:type="dxa"/>
            <w:vAlign w:val="center"/>
          </w:tcPr>
          <w:p>
            <w:pPr>
              <w:pStyle w:val="13"/>
            </w:pPr>
            <w:r>
              <w:t>100比率</w:t>
            </w:r>
          </w:p>
        </w:tc>
        <w:tc>
          <w:tcPr>
            <w:tcW w:w="1843" w:type="dxa"/>
            <w:vAlign w:val="center"/>
          </w:tcPr>
          <w:p>
            <w:pPr>
              <w:pStyle w:val="13"/>
            </w:pPr>
            <w:r>
              <w:t>人员明细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控制在预算金额内</w:t>
            </w:r>
          </w:p>
        </w:tc>
        <w:tc>
          <w:tcPr>
            <w:tcW w:w="2891" w:type="dxa"/>
            <w:vAlign w:val="center"/>
          </w:tcPr>
          <w:p>
            <w:pPr>
              <w:pStyle w:val="13"/>
            </w:pPr>
            <w:r>
              <w:t>控制在预算金额内</w:t>
            </w:r>
          </w:p>
        </w:tc>
        <w:tc>
          <w:tcPr>
            <w:tcW w:w="1276" w:type="dxa"/>
            <w:vAlign w:val="center"/>
          </w:tcPr>
          <w:p>
            <w:pPr>
              <w:pStyle w:val="13"/>
            </w:pPr>
            <w:r>
              <w:t>支出不超出预算</w:t>
            </w:r>
          </w:p>
        </w:tc>
        <w:tc>
          <w:tcPr>
            <w:tcW w:w="1843"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提高就业率</w:t>
            </w:r>
          </w:p>
        </w:tc>
        <w:tc>
          <w:tcPr>
            <w:tcW w:w="2891" w:type="dxa"/>
            <w:vAlign w:val="center"/>
          </w:tcPr>
          <w:p>
            <w:pPr>
              <w:pStyle w:val="13"/>
            </w:pPr>
            <w:r>
              <w:t>提高毕业生就业率</w:t>
            </w:r>
          </w:p>
        </w:tc>
        <w:tc>
          <w:tcPr>
            <w:tcW w:w="1276" w:type="dxa"/>
            <w:vAlign w:val="center"/>
          </w:tcPr>
          <w:p>
            <w:pPr>
              <w:pStyle w:val="13"/>
            </w:pPr>
            <w:r>
              <w:t>提高毕业生就业率</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提高生活水平</w:t>
            </w:r>
          </w:p>
        </w:tc>
        <w:tc>
          <w:tcPr>
            <w:tcW w:w="2891" w:type="dxa"/>
            <w:vAlign w:val="center"/>
          </w:tcPr>
          <w:p>
            <w:pPr>
              <w:pStyle w:val="13"/>
            </w:pPr>
            <w:r>
              <w:t>提高劳务派遣人员生活水平</w:t>
            </w:r>
          </w:p>
        </w:tc>
        <w:tc>
          <w:tcPr>
            <w:tcW w:w="1276" w:type="dxa"/>
            <w:vAlign w:val="center"/>
          </w:tcPr>
          <w:p>
            <w:pPr>
              <w:pStyle w:val="13"/>
            </w:pPr>
            <w:r>
              <w:t>提高劳务派遣人员生活水平</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促进消费</w:t>
            </w:r>
          </w:p>
        </w:tc>
        <w:tc>
          <w:tcPr>
            <w:tcW w:w="2891" w:type="dxa"/>
            <w:vAlign w:val="center"/>
          </w:tcPr>
          <w:p>
            <w:pPr>
              <w:pStyle w:val="13"/>
            </w:pPr>
            <w:r>
              <w:t>租金劳务派遣人员消费水平</w:t>
            </w:r>
          </w:p>
        </w:tc>
        <w:tc>
          <w:tcPr>
            <w:tcW w:w="1276" w:type="dxa"/>
            <w:vAlign w:val="center"/>
          </w:tcPr>
          <w:p>
            <w:pPr>
              <w:pStyle w:val="13"/>
            </w:pPr>
            <w:r>
              <w:t>促进劳务派遣人员消费水平</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劳务派遣人员满意度</w:t>
            </w:r>
          </w:p>
        </w:tc>
        <w:tc>
          <w:tcPr>
            <w:tcW w:w="1276" w:type="dxa"/>
            <w:vAlign w:val="center"/>
          </w:tcPr>
          <w:p>
            <w:pPr>
              <w:pStyle w:val="13"/>
            </w:pPr>
            <w:r>
              <w:t>≥90比率</w:t>
            </w:r>
          </w:p>
        </w:tc>
        <w:tc>
          <w:tcPr>
            <w:tcW w:w="1843" w:type="dxa"/>
            <w:vAlign w:val="center"/>
          </w:tcPr>
          <w:p>
            <w:pPr>
              <w:pStyle w:val="13"/>
            </w:pPr>
            <w:r>
              <w:t>劳务派遣人员满意度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2.残疾人保障金绩效目标表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434001玉田县人民政府办公室本级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13022925P00JXC419610D</w:t>
            </w:r>
          </w:p>
        </w:tc>
        <w:tc>
          <w:tcPr>
            <w:tcW w:w="1587" w:type="dxa"/>
            <w:vAlign w:val="center"/>
          </w:tcPr>
          <w:p>
            <w:pPr>
              <w:pStyle w:val="14"/>
            </w:pPr>
            <w:r>
              <w:t>项目名称</w:t>
            </w:r>
          </w:p>
        </w:tc>
        <w:tc>
          <w:tcPr>
            <w:tcW w:w="4423"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87000.00</w:t>
            </w:r>
          </w:p>
        </w:tc>
        <w:tc>
          <w:tcPr>
            <w:tcW w:w="1587" w:type="dxa"/>
            <w:vAlign w:val="center"/>
          </w:tcPr>
          <w:p>
            <w:pPr>
              <w:pStyle w:val="14"/>
            </w:pPr>
            <w:r>
              <w:t>其中：财政    资金</w:t>
            </w:r>
          </w:p>
        </w:tc>
        <w:tc>
          <w:tcPr>
            <w:tcW w:w="1304" w:type="dxa"/>
            <w:vAlign w:val="center"/>
          </w:tcPr>
          <w:p>
            <w:pPr>
              <w:pStyle w:val="13"/>
            </w:pPr>
            <w:r>
              <w:t>87000.00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缴纳残疾人就业保障金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1.及时缴纳残疾人就业保障金，帮助残疾人就业，保障基本生活。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残疾人覆盖率</w:t>
            </w:r>
          </w:p>
        </w:tc>
        <w:tc>
          <w:tcPr>
            <w:tcW w:w="2891" w:type="dxa"/>
            <w:vAlign w:val="center"/>
          </w:tcPr>
          <w:p>
            <w:pPr>
              <w:pStyle w:val="13"/>
            </w:pPr>
            <w:r>
              <w:t>残疾人覆盖率</w:t>
            </w:r>
          </w:p>
        </w:tc>
        <w:tc>
          <w:tcPr>
            <w:tcW w:w="1276" w:type="dxa"/>
            <w:vAlign w:val="center"/>
          </w:tcPr>
          <w:p>
            <w:pPr>
              <w:pStyle w:val="13"/>
            </w:pPr>
            <w:r>
              <w:t>≥100比率</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保障金足额支付率</w:t>
            </w:r>
          </w:p>
        </w:tc>
        <w:tc>
          <w:tcPr>
            <w:tcW w:w="2891" w:type="dxa"/>
            <w:vAlign w:val="center"/>
          </w:tcPr>
          <w:p>
            <w:pPr>
              <w:pStyle w:val="13"/>
            </w:pPr>
            <w:r>
              <w:t>保障金足额支付率</w:t>
            </w:r>
          </w:p>
        </w:tc>
        <w:tc>
          <w:tcPr>
            <w:tcW w:w="1276" w:type="dxa"/>
            <w:vAlign w:val="center"/>
          </w:tcPr>
          <w:p>
            <w:pPr>
              <w:pStyle w:val="13"/>
            </w:pPr>
            <w:r>
              <w:t>≥100比率</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支付保障金及时率</w:t>
            </w:r>
          </w:p>
        </w:tc>
        <w:tc>
          <w:tcPr>
            <w:tcW w:w="2891" w:type="dxa"/>
            <w:vAlign w:val="center"/>
          </w:tcPr>
          <w:p>
            <w:pPr>
              <w:pStyle w:val="13"/>
            </w:pPr>
            <w:r>
              <w:t>支付保障金及时率</w:t>
            </w:r>
          </w:p>
        </w:tc>
        <w:tc>
          <w:tcPr>
            <w:tcW w:w="1276" w:type="dxa"/>
            <w:vAlign w:val="center"/>
          </w:tcPr>
          <w:p>
            <w:pPr>
              <w:pStyle w:val="13"/>
            </w:pPr>
            <w:r>
              <w:t>≥100比率</w:t>
            </w:r>
          </w:p>
        </w:tc>
        <w:tc>
          <w:tcPr>
            <w:tcW w:w="1843"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不超出预算金额</w:t>
            </w:r>
          </w:p>
        </w:tc>
        <w:tc>
          <w:tcPr>
            <w:tcW w:w="2891" w:type="dxa"/>
            <w:vAlign w:val="center"/>
          </w:tcPr>
          <w:p>
            <w:pPr>
              <w:pStyle w:val="13"/>
            </w:pPr>
            <w:r>
              <w:t>不超出预算金额</w:t>
            </w:r>
          </w:p>
        </w:tc>
        <w:tc>
          <w:tcPr>
            <w:tcW w:w="1276" w:type="dxa"/>
            <w:vAlign w:val="center"/>
          </w:tcPr>
          <w:p>
            <w:pPr>
              <w:pStyle w:val="13"/>
            </w:pPr>
            <w:r>
              <w:t>不超出预算金额</w:t>
            </w:r>
          </w:p>
        </w:tc>
        <w:tc>
          <w:tcPr>
            <w:tcW w:w="1843" w:type="dxa"/>
            <w:vAlign w:val="center"/>
          </w:tcPr>
          <w:p>
            <w:pPr>
              <w:pStyle w:val="13"/>
            </w:pPr>
            <w:r>
              <w:t>支出不超出预算金额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提高残疾人生活水平</w:t>
            </w:r>
          </w:p>
        </w:tc>
        <w:tc>
          <w:tcPr>
            <w:tcW w:w="2891" w:type="dxa"/>
            <w:vAlign w:val="center"/>
          </w:tcPr>
          <w:p>
            <w:pPr>
              <w:pStyle w:val="13"/>
            </w:pPr>
            <w:r>
              <w:t>提高残疾人生活水平</w:t>
            </w:r>
          </w:p>
        </w:tc>
        <w:tc>
          <w:tcPr>
            <w:tcW w:w="1276" w:type="dxa"/>
            <w:vAlign w:val="center"/>
          </w:tcPr>
          <w:p>
            <w:pPr>
              <w:pStyle w:val="13"/>
            </w:pPr>
            <w:r>
              <w:t>提高残疾人生活水平</w:t>
            </w:r>
          </w:p>
        </w:tc>
        <w:tc>
          <w:tcPr>
            <w:tcW w:w="1843"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提高残疾人就业率</w:t>
            </w:r>
          </w:p>
        </w:tc>
        <w:tc>
          <w:tcPr>
            <w:tcW w:w="2891" w:type="dxa"/>
            <w:vAlign w:val="center"/>
          </w:tcPr>
          <w:p>
            <w:pPr>
              <w:pStyle w:val="13"/>
            </w:pPr>
            <w:r>
              <w:t>提高残疾人就业率</w:t>
            </w:r>
          </w:p>
        </w:tc>
        <w:tc>
          <w:tcPr>
            <w:tcW w:w="1276" w:type="dxa"/>
            <w:vAlign w:val="center"/>
          </w:tcPr>
          <w:p>
            <w:pPr>
              <w:pStyle w:val="13"/>
            </w:pPr>
            <w:r>
              <w:t>提高残疾人就业率</w:t>
            </w:r>
          </w:p>
        </w:tc>
        <w:tc>
          <w:tcPr>
            <w:tcW w:w="1843"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保障残疾人基本权益</w:t>
            </w:r>
          </w:p>
        </w:tc>
        <w:tc>
          <w:tcPr>
            <w:tcW w:w="2891" w:type="dxa"/>
            <w:vAlign w:val="center"/>
          </w:tcPr>
          <w:p>
            <w:pPr>
              <w:pStyle w:val="13"/>
            </w:pPr>
            <w:r>
              <w:t>保障残疾人基本权益</w:t>
            </w:r>
          </w:p>
        </w:tc>
        <w:tc>
          <w:tcPr>
            <w:tcW w:w="1276" w:type="dxa"/>
            <w:vAlign w:val="center"/>
          </w:tcPr>
          <w:p>
            <w:pPr>
              <w:pStyle w:val="13"/>
            </w:pPr>
            <w:r>
              <w:t>保障残疾人基本权益</w:t>
            </w:r>
          </w:p>
        </w:tc>
        <w:tc>
          <w:tcPr>
            <w:tcW w:w="1843" w:type="dxa"/>
            <w:vAlign w:val="center"/>
          </w:tcPr>
          <w:p>
            <w:pPr>
              <w:pStyle w:val="13"/>
            </w:pPr>
            <w:r>
              <w:t>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接受扶持残疾人的满意率</w:t>
            </w:r>
          </w:p>
        </w:tc>
        <w:tc>
          <w:tcPr>
            <w:tcW w:w="2891" w:type="dxa"/>
            <w:vAlign w:val="center"/>
          </w:tcPr>
          <w:p>
            <w:pPr>
              <w:pStyle w:val="13"/>
            </w:pPr>
            <w:r>
              <w:t>接受扶持残疾人的满意率</w:t>
            </w:r>
          </w:p>
        </w:tc>
        <w:tc>
          <w:tcPr>
            <w:tcW w:w="1276" w:type="dxa"/>
            <w:vAlign w:val="center"/>
          </w:tcPr>
          <w:p>
            <w:pPr>
              <w:pStyle w:val="13"/>
            </w:pPr>
            <w:r>
              <w:t>≥90比率</w:t>
            </w:r>
          </w:p>
        </w:tc>
        <w:tc>
          <w:tcPr>
            <w:tcW w:w="1843" w:type="dxa"/>
            <w:vAlign w:val="center"/>
          </w:tcPr>
          <w:p>
            <w:pPr>
              <w:pStyle w:val="13"/>
            </w:pPr>
            <w:r>
              <w:t>工作完成情况</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3.法律顾问服务费绩效目标表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434001玉田县人民政府办公室本级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13022925P00JXC419883X</w:t>
            </w:r>
          </w:p>
        </w:tc>
        <w:tc>
          <w:tcPr>
            <w:tcW w:w="1587" w:type="dxa"/>
            <w:vAlign w:val="center"/>
          </w:tcPr>
          <w:p>
            <w:pPr>
              <w:pStyle w:val="14"/>
            </w:pPr>
            <w:r>
              <w:t>项目名称</w:t>
            </w:r>
          </w:p>
        </w:tc>
        <w:tc>
          <w:tcPr>
            <w:tcW w:w="4423" w:type="dxa"/>
            <w:gridSpan w:val="3"/>
            <w:vAlign w:val="center"/>
          </w:tcPr>
          <w:p>
            <w:pPr>
              <w:pStyle w:val="13"/>
            </w:pPr>
            <w:r>
              <w:t>法律顾问服务费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199000.00</w:t>
            </w:r>
          </w:p>
        </w:tc>
        <w:tc>
          <w:tcPr>
            <w:tcW w:w="1587" w:type="dxa"/>
            <w:vAlign w:val="center"/>
          </w:tcPr>
          <w:p>
            <w:pPr>
              <w:pStyle w:val="14"/>
            </w:pPr>
            <w:r>
              <w:t>其中：财政    资金</w:t>
            </w:r>
          </w:p>
        </w:tc>
        <w:tc>
          <w:tcPr>
            <w:tcW w:w="1304" w:type="dxa"/>
            <w:vAlign w:val="center"/>
          </w:tcPr>
          <w:p>
            <w:pPr>
              <w:pStyle w:val="13"/>
            </w:pPr>
            <w:r>
              <w:t>199000.00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聘请法律顾问，依法受理并办理行政复议案件，办理行政诉讼、裁决案件，及时纠正各级行政机关违法不当行为，保障申请人合法权益，推动依法行政工作。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1.依法受理并办理行政复议案件，办理行政诉讼、裁决案件，及时纠正各级行政机关违法不当行为，保障申请人合法权益，推动依法行政工作。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案件执结率</w:t>
            </w:r>
          </w:p>
        </w:tc>
        <w:tc>
          <w:tcPr>
            <w:tcW w:w="2891" w:type="dxa"/>
            <w:vAlign w:val="center"/>
          </w:tcPr>
          <w:p>
            <w:pPr>
              <w:pStyle w:val="13"/>
            </w:pPr>
            <w:r>
              <w:t>为县政府处置涉法涉诉案件的案件执结率(%)</w:t>
            </w:r>
          </w:p>
        </w:tc>
        <w:tc>
          <w:tcPr>
            <w:tcW w:w="1276" w:type="dxa"/>
            <w:vAlign w:val="center"/>
          </w:tcPr>
          <w:p>
            <w:pPr>
              <w:pStyle w:val="13"/>
            </w:pPr>
            <w:r>
              <w:t>≥90比率</w:t>
            </w:r>
          </w:p>
        </w:tc>
        <w:tc>
          <w:tcPr>
            <w:tcW w:w="1843" w:type="dxa"/>
            <w:vAlign w:val="center"/>
          </w:tcPr>
          <w:p>
            <w:pPr>
              <w:pStyle w:val="13"/>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论证意见采纳率</w:t>
            </w:r>
          </w:p>
        </w:tc>
        <w:tc>
          <w:tcPr>
            <w:tcW w:w="2891" w:type="dxa"/>
            <w:vAlign w:val="center"/>
          </w:tcPr>
          <w:p>
            <w:pPr>
              <w:pStyle w:val="13"/>
            </w:pPr>
            <w:r>
              <w:t>提出的法律论证意见采纳率</w:t>
            </w:r>
          </w:p>
        </w:tc>
        <w:tc>
          <w:tcPr>
            <w:tcW w:w="1276" w:type="dxa"/>
            <w:vAlign w:val="center"/>
          </w:tcPr>
          <w:p>
            <w:pPr>
              <w:pStyle w:val="13"/>
            </w:pPr>
            <w:r>
              <w:t>≥90比率</w:t>
            </w:r>
          </w:p>
        </w:tc>
        <w:tc>
          <w:tcPr>
            <w:tcW w:w="1843" w:type="dxa"/>
            <w:vAlign w:val="center"/>
          </w:tcPr>
          <w:p>
            <w:pPr>
              <w:pStyle w:val="13"/>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工作完成的时效</w:t>
            </w:r>
          </w:p>
        </w:tc>
        <w:tc>
          <w:tcPr>
            <w:tcW w:w="2891" w:type="dxa"/>
            <w:vAlign w:val="center"/>
          </w:tcPr>
          <w:p>
            <w:pPr>
              <w:pStyle w:val="13"/>
            </w:pPr>
            <w:r>
              <w:t>在规定时间内办结案件（天）</w:t>
            </w:r>
          </w:p>
        </w:tc>
        <w:tc>
          <w:tcPr>
            <w:tcW w:w="1276" w:type="dxa"/>
            <w:vAlign w:val="center"/>
          </w:tcPr>
          <w:p>
            <w:pPr>
              <w:pStyle w:val="13"/>
            </w:pPr>
            <w:r>
              <w:t>≤180天数</w:t>
            </w:r>
          </w:p>
        </w:tc>
        <w:tc>
          <w:tcPr>
            <w:tcW w:w="1843" w:type="dxa"/>
            <w:vAlign w:val="center"/>
          </w:tcPr>
          <w:p>
            <w:pPr>
              <w:pStyle w:val="13"/>
            </w:pPr>
            <w:r>
              <w:t>案件记录文件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控制在预算金额内</w:t>
            </w:r>
          </w:p>
        </w:tc>
        <w:tc>
          <w:tcPr>
            <w:tcW w:w="2891" w:type="dxa"/>
            <w:vAlign w:val="center"/>
          </w:tcPr>
          <w:p>
            <w:pPr>
              <w:pStyle w:val="13"/>
            </w:pPr>
            <w:r>
              <w:t>控制在预算金额内</w:t>
            </w:r>
          </w:p>
        </w:tc>
        <w:tc>
          <w:tcPr>
            <w:tcW w:w="1276" w:type="dxa"/>
            <w:vAlign w:val="center"/>
          </w:tcPr>
          <w:p>
            <w:pPr>
              <w:pStyle w:val="13"/>
            </w:pPr>
            <w:r>
              <w:t>支出不超出预算</w:t>
            </w:r>
          </w:p>
        </w:tc>
        <w:tc>
          <w:tcPr>
            <w:tcW w:w="1843"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提升法制政府管理水平</w:t>
            </w:r>
          </w:p>
        </w:tc>
        <w:tc>
          <w:tcPr>
            <w:tcW w:w="2891" w:type="dxa"/>
            <w:vAlign w:val="center"/>
          </w:tcPr>
          <w:p>
            <w:pPr>
              <w:pStyle w:val="13"/>
            </w:pPr>
            <w:r>
              <w:t>提升法制政府管理水平</w:t>
            </w:r>
          </w:p>
        </w:tc>
        <w:tc>
          <w:tcPr>
            <w:tcW w:w="1276" w:type="dxa"/>
            <w:vAlign w:val="center"/>
          </w:tcPr>
          <w:p>
            <w:pPr>
              <w:pStyle w:val="13"/>
            </w:pPr>
            <w:r>
              <w:t>提升法制政府管理水平</w:t>
            </w:r>
          </w:p>
        </w:tc>
        <w:tc>
          <w:tcPr>
            <w:tcW w:w="1843" w:type="dxa"/>
            <w:vAlign w:val="center"/>
          </w:tcPr>
          <w:p>
            <w:pPr>
              <w:pStyle w:val="13"/>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保证法制工作有序开展</w:t>
            </w:r>
          </w:p>
        </w:tc>
        <w:tc>
          <w:tcPr>
            <w:tcW w:w="2891" w:type="dxa"/>
            <w:vAlign w:val="center"/>
          </w:tcPr>
          <w:p>
            <w:pPr>
              <w:pStyle w:val="13"/>
            </w:pPr>
            <w:r>
              <w:t>保证法制工作有序开展</w:t>
            </w:r>
          </w:p>
        </w:tc>
        <w:tc>
          <w:tcPr>
            <w:tcW w:w="1276" w:type="dxa"/>
            <w:vAlign w:val="center"/>
          </w:tcPr>
          <w:p>
            <w:pPr>
              <w:pStyle w:val="13"/>
            </w:pPr>
            <w:r>
              <w:t>保证法制工作有序开展</w:t>
            </w:r>
          </w:p>
        </w:tc>
        <w:tc>
          <w:tcPr>
            <w:tcW w:w="1843" w:type="dxa"/>
            <w:vAlign w:val="center"/>
          </w:tcPr>
          <w:p>
            <w:pPr>
              <w:pStyle w:val="13"/>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提升社会稳定水平</w:t>
            </w:r>
          </w:p>
        </w:tc>
        <w:tc>
          <w:tcPr>
            <w:tcW w:w="2891" w:type="dxa"/>
            <w:vAlign w:val="center"/>
          </w:tcPr>
          <w:p>
            <w:pPr>
              <w:pStyle w:val="13"/>
            </w:pPr>
            <w:r>
              <w:t>提升社会稳定水平</w:t>
            </w:r>
          </w:p>
        </w:tc>
        <w:tc>
          <w:tcPr>
            <w:tcW w:w="1276" w:type="dxa"/>
            <w:vAlign w:val="center"/>
          </w:tcPr>
          <w:p>
            <w:pPr>
              <w:pStyle w:val="13"/>
            </w:pPr>
            <w:r>
              <w:t>提升社会稳定水平</w:t>
            </w:r>
          </w:p>
        </w:tc>
        <w:tc>
          <w:tcPr>
            <w:tcW w:w="1843" w:type="dxa"/>
            <w:vAlign w:val="center"/>
          </w:tcPr>
          <w:p>
            <w:pPr>
              <w:pStyle w:val="13"/>
            </w:pPr>
            <w:r>
              <w:t>工作汇报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社会公众对政府满意度</w:t>
            </w:r>
          </w:p>
        </w:tc>
        <w:tc>
          <w:tcPr>
            <w:tcW w:w="2891" w:type="dxa"/>
            <w:vAlign w:val="center"/>
          </w:tcPr>
          <w:p>
            <w:pPr>
              <w:pStyle w:val="13"/>
            </w:pPr>
            <w:r>
              <w:t>社会公众对政府满意度</w:t>
            </w:r>
          </w:p>
        </w:tc>
        <w:tc>
          <w:tcPr>
            <w:tcW w:w="1276" w:type="dxa"/>
            <w:vAlign w:val="center"/>
          </w:tcPr>
          <w:p>
            <w:pPr>
              <w:pStyle w:val="13"/>
            </w:pPr>
            <w:r>
              <w:t>≥90比率</w:t>
            </w:r>
          </w:p>
        </w:tc>
        <w:tc>
          <w:tcPr>
            <w:tcW w:w="1843" w:type="dxa"/>
            <w:vAlign w:val="center"/>
          </w:tcPr>
          <w:p>
            <w:pPr>
              <w:pStyle w:val="13"/>
            </w:pPr>
            <w:r>
              <w:t>社会公众对政府满意度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4.防范和打击非法集资专项经费绩效目标表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434001玉田县人民政府办公室本级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13022925P00JXC419882A</w:t>
            </w:r>
          </w:p>
        </w:tc>
        <w:tc>
          <w:tcPr>
            <w:tcW w:w="1587" w:type="dxa"/>
            <w:vAlign w:val="center"/>
          </w:tcPr>
          <w:p>
            <w:pPr>
              <w:pStyle w:val="14"/>
            </w:pPr>
            <w:r>
              <w:t>项目名称</w:t>
            </w:r>
          </w:p>
        </w:tc>
        <w:tc>
          <w:tcPr>
            <w:tcW w:w="4423" w:type="dxa"/>
            <w:gridSpan w:val="3"/>
            <w:vAlign w:val="center"/>
          </w:tcPr>
          <w:p>
            <w:pPr>
              <w:pStyle w:val="13"/>
            </w:pPr>
            <w:r>
              <w:t>防范和打击非法集资专项经费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维护正常金融秩序，特别是做好金融风险宣传教育和处置化解工作。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1.维护正常金融秩序，特别是做好金融风险宣传教育和处置化解工作。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开展宣传活动的次数</w:t>
            </w:r>
          </w:p>
        </w:tc>
        <w:tc>
          <w:tcPr>
            <w:tcW w:w="2891" w:type="dxa"/>
            <w:vAlign w:val="center"/>
          </w:tcPr>
          <w:p>
            <w:pPr>
              <w:pStyle w:val="13"/>
            </w:pPr>
            <w:r>
              <w:t>开展宣传活动的次数</w:t>
            </w:r>
          </w:p>
        </w:tc>
        <w:tc>
          <w:tcPr>
            <w:tcW w:w="1276" w:type="dxa"/>
            <w:vAlign w:val="center"/>
          </w:tcPr>
          <w:p>
            <w:pPr>
              <w:pStyle w:val="13"/>
            </w:pPr>
            <w:r>
              <w:t>≥6次数</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工作任务完成率</w:t>
            </w:r>
          </w:p>
        </w:tc>
        <w:tc>
          <w:tcPr>
            <w:tcW w:w="2891" w:type="dxa"/>
            <w:vAlign w:val="center"/>
          </w:tcPr>
          <w:p>
            <w:pPr>
              <w:pStyle w:val="13"/>
            </w:pPr>
            <w:r>
              <w:t>工作任务完成率</w:t>
            </w:r>
          </w:p>
        </w:tc>
        <w:tc>
          <w:tcPr>
            <w:tcW w:w="1276" w:type="dxa"/>
            <w:vAlign w:val="center"/>
          </w:tcPr>
          <w:p>
            <w:pPr>
              <w:pStyle w:val="13"/>
            </w:pPr>
            <w:r>
              <w:t>≥90比率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宣传活动开展及时率</w:t>
            </w:r>
          </w:p>
        </w:tc>
        <w:tc>
          <w:tcPr>
            <w:tcW w:w="2891" w:type="dxa"/>
            <w:vAlign w:val="center"/>
          </w:tcPr>
          <w:p>
            <w:pPr>
              <w:pStyle w:val="13"/>
            </w:pPr>
            <w:r>
              <w:t>宣传活动开展及时率</w:t>
            </w:r>
          </w:p>
        </w:tc>
        <w:tc>
          <w:tcPr>
            <w:tcW w:w="1276" w:type="dxa"/>
            <w:vAlign w:val="center"/>
          </w:tcPr>
          <w:p>
            <w:pPr>
              <w:pStyle w:val="13"/>
            </w:pPr>
            <w:r>
              <w:t>≥90比率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控制在预算成本内</w:t>
            </w:r>
          </w:p>
        </w:tc>
        <w:tc>
          <w:tcPr>
            <w:tcW w:w="2891" w:type="dxa"/>
            <w:vAlign w:val="center"/>
          </w:tcPr>
          <w:p>
            <w:pPr>
              <w:pStyle w:val="13"/>
            </w:pPr>
            <w:r>
              <w:t>控制在预算成本内</w:t>
            </w:r>
          </w:p>
        </w:tc>
        <w:tc>
          <w:tcPr>
            <w:tcW w:w="1276" w:type="dxa"/>
            <w:vAlign w:val="center"/>
          </w:tcPr>
          <w:p>
            <w:pPr>
              <w:pStyle w:val="13"/>
            </w:pPr>
            <w:r>
              <w:t>支出不超出预算</w:t>
            </w:r>
          </w:p>
        </w:tc>
        <w:tc>
          <w:tcPr>
            <w:tcW w:w="1843"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提升应急处置能力</w:t>
            </w:r>
          </w:p>
        </w:tc>
        <w:tc>
          <w:tcPr>
            <w:tcW w:w="2891" w:type="dxa"/>
            <w:vAlign w:val="center"/>
          </w:tcPr>
          <w:p>
            <w:pPr>
              <w:pStyle w:val="13"/>
            </w:pPr>
            <w:r>
              <w:t>提升应急处置能力</w:t>
            </w:r>
          </w:p>
        </w:tc>
        <w:tc>
          <w:tcPr>
            <w:tcW w:w="1276" w:type="dxa"/>
            <w:vAlign w:val="center"/>
          </w:tcPr>
          <w:p>
            <w:pPr>
              <w:pStyle w:val="13"/>
            </w:pPr>
            <w:r>
              <w:t>提升应急处置能力</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保障县内金融环境稳定性</w:t>
            </w:r>
          </w:p>
        </w:tc>
        <w:tc>
          <w:tcPr>
            <w:tcW w:w="2891" w:type="dxa"/>
            <w:vAlign w:val="center"/>
          </w:tcPr>
          <w:p>
            <w:pPr>
              <w:pStyle w:val="13"/>
            </w:pPr>
            <w:r>
              <w:t>保障县内金融环境稳定性</w:t>
            </w:r>
          </w:p>
        </w:tc>
        <w:tc>
          <w:tcPr>
            <w:tcW w:w="1276" w:type="dxa"/>
            <w:vAlign w:val="center"/>
          </w:tcPr>
          <w:p>
            <w:pPr>
              <w:pStyle w:val="13"/>
            </w:pPr>
            <w:r>
              <w:t>保障县内金融环境稳定性</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提升社会稳定水平</w:t>
            </w:r>
          </w:p>
        </w:tc>
        <w:tc>
          <w:tcPr>
            <w:tcW w:w="2891" w:type="dxa"/>
            <w:vAlign w:val="center"/>
          </w:tcPr>
          <w:p>
            <w:pPr>
              <w:pStyle w:val="13"/>
            </w:pPr>
            <w:r>
              <w:t>提升社会稳定水平</w:t>
            </w:r>
          </w:p>
        </w:tc>
        <w:tc>
          <w:tcPr>
            <w:tcW w:w="1276" w:type="dxa"/>
            <w:vAlign w:val="center"/>
          </w:tcPr>
          <w:p>
            <w:pPr>
              <w:pStyle w:val="13"/>
            </w:pPr>
            <w:r>
              <w:t>提升社会稳定水平</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接受宣传人群满意度</w:t>
            </w:r>
          </w:p>
        </w:tc>
        <w:tc>
          <w:tcPr>
            <w:tcW w:w="1276" w:type="dxa"/>
            <w:vAlign w:val="center"/>
          </w:tcPr>
          <w:p>
            <w:pPr>
              <w:pStyle w:val="13"/>
            </w:pPr>
            <w:r>
              <w:t>≥90比率</w:t>
            </w:r>
          </w:p>
        </w:tc>
        <w:tc>
          <w:tcPr>
            <w:tcW w:w="1843" w:type="dxa"/>
            <w:vAlign w:val="center"/>
          </w:tcPr>
          <w:p>
            <w:pPr>
              <w:pStyle w:val="13"/>
            </w:pPr>
            <w:r>
              <w:t>活动开展情况</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5.玉田县红十字会专项业务费绩效目标表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434001玉田县人民政府办公室本级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13022925P00JXC419884H</w:t>
            </w:r>
          </w:p>
        </w:tc>
        <w:tc>
          <w:tcPr>
            <w:tcW w:w="1587" w:type="dxa"/>
            <w:vAlign w:val="center"/>
          </w:tcPr>
          <w:p>
            <w:pPr>
              <w:pStyle w:val="14"/>
            </w:pPr>
            <w:r>
              <w:t>项目名称</w:t>
            </w:r>
          </w:p>
        </w:tc>
        <w:tc>
          <w:tcPr>
            <w:tcW w:w="4423" w:type="dxa"/>
            <w:gridSpan w:val="3"/>
            <w:vAlign w:val="center"/>
          </w:tcPr>
          <w:p>
            <w:pPr>
              <w:pStyle w:val="13"/>
            </w:pPr>
            <w:r>
              <w:t>玉田县红十字会专项业务费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304" w:type="dxa"/>
            <w:vAlign w:val="center"/>
          </w:tcPr>
          <w:p>
            <w:pPr>
              <w:pStyle w:val="13"/>
            </w:pPr>
            <w:r>
              <w:t>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推动贫困重病患者救助、圆梦助学行动救助和特困家庭人道救助等募捐救助活动等各项工作开展。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1.推动贫困重病患者救助、圆梦助学行动救助和特困家庭人道救助等募捐救助活动等各项工作开展。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救助人数数量</w:t>
            </w:r>
          </w:p>
        </w:tc>
        <w:tc>
          <w:tcPr>
            <w:tcW w:w="2891" w:type="dxa"/>
            <w:vAlign w:val="center"/>
          </w:tcPr>
          <w:p>
            <w:pPr>
              <w:pStyle w:val="13"/>
            </w:pPr>
            <w:r>
              <w:t>救助人数数量</w:t>
            </w:r>
          </w:p>
        </w:tc>
        <w:tc>
          <w:tcPr>
            <w:tcW w:w="1276" w:type="dxa"/>
            <w:vAlign w:val="center"/>
          </w:tcPr>
          <w:p>
            <w:pPr>
              <w:pStyle w:val="13"/>
            </w:pPr>
            <w:r>
              <w:t>≥10人数</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募捐活动开展成功率</w:t>
            </w:r>
          </w:p>
        </w:tc>
        <w:tc>
          <w:tcPr>
            <w:tcW w:w="2891" w:type="dxa"/>
            <w:vAlign w:val="center"/>
          </w:tcPr>
          <w:p>
            <w:pPr>
              <w:pStyle w:val="13"/>
            </w:pPr>
            <w:r>
              <w:t>募捐活动开展成功率</w:t>
            </w:r>
          </w:p>
        </w:tc>
        <w:tc>
          <w:tcPr>
            <w:tcW w:w="1276" w:type="dxa"/>
            <w:vAlign w:val="center"/>
          </w:tcPr>
          <w:p>
            <w:pPr>
              <w:pStyle w:val="13"/>
            </w:pPr>
            <w:r>
              <w:t>≥90比率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募捐活动开展及时率</w:t>
            </w:r>
          </w:p>
        </w:tc>
        <w:tc>
          <w:tcPr>
            <w:tcW w:w="2891" w:type="dxa"/>
            <w:vAlign w:val="center"/>
          </w:tcPr>
          <w:p>
            <w:pPr>
              <w:pStyle w:val="13"/>
            </w:pPr>
            <w:r>
              <w:t>募捐活动开展及时率</w:t>
            </w:r>
          </w:p>
        </w:tc>
        <w:tc>
          <w:tcPr>
            <w:tcW w:w="1276" w:type="dxa"/>
            <w:vAlign w:val="center"/>
          </w:tcPr>
          <w:p>
            <w:pPr>
              <w:pStyle w:val="13"/>
            </w:pPr>
            <w:r>
              <w:t>≥90比率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控制在预算金额内</w:t>
            </w:r>
          </w:p>
        </w:tc>
        <w:tc>
          <w:tcPr>
            <w:tcW w:w="2891" w:type="dxa"/>
            <w:vAlign w:val="center"/>
          </w:tcPr>
          <w:p>
            <w:pPr>
              <w:pStyle w:val="13"/>
            </w:pPr>
            <w:r>
              <w:t>控制在预算金额内</w:t>
            </w:r>
          </w:p>
        </w:tc>
        <w:tc>
          <w:tcPr>
            <w:tcW w:w="1276" w:type="dxa"/>
            <w:vAlign w:val="center"/>
          </w:tcPr>
          <w:p>
            <w:pPr>
              <w:pStyle w:val="13"/>
            </w:pPr>
            <w:r>
              <w:t>支出不超出预算</w:t>
            </w:r>
          </w:p>
        </w:tc>
        <w:tc>
          <w:tcPr>
            <w:tcW w:w="1843"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提高被救助人员生活水平</w:t>
            </w:r>
          </w:p>
        </w:tc>
        <w:tc>
          <w:tcPr>
            <w:tcW w:w="2891" w:type="dxa"/>
            <w:vAlign w:val="center"/>
          </w:tcPr>
          <w:p>
            <w:pPr>
              <w:pStyle w:val="13"/>
            </w:pPr>
            <w:r>
              <w:t>提高被救助人员生活水平</w:t>
            </w:r>
          </w:p>
        </w:tc>
        <w:tc>
          <w:tcPr>
            <w:tcW w:w="1276" w:type="dxa"/>
            <w:vAlign w:val="center"/>
          </w:tcPr>
          <w:p>
            <w:pPr>
              <w:pStyle w:val="13"/>
            </w:pPr>
            <w:r>
              <w:t>提高被救助人员生活水平</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提升公益服务水平</w:t>
            </w:r>
          </w:p>
        </w:tc>
        <w:tc>
          <w:tcPr>
            <w:tcW w:w="2891" w:type="dxa"/>
            <w:vAlign w:val="center"/>
          </w:tcPr>
          <w:p>
            <w:pPr>
              <w:pStyle w:val="13"/>
            </w:pPr>
            <w:r>
              <w:t>提升公益服务水平</w:t>
            </w:r>
          </w:p>
        </w:tc>
        <w:tc>
          <w:tcPr>
            <w:tcW w:w="1276" w:type="dxa"/>
            <w:vAlign w:val="center"/>
          </w:tcPr>
          <w:p>
            <w:pPr>
              <w:pStyle w:val="13"/>
            </w:pPr>
            <w:r>
              <w:t>提升公益服务水平</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提高社会对公益救助活动的重视水平</w:t>
            </w:r>
          </w:p>
        </w:tc>
        <w:tc>
          <w:tcPr>
            <w:tcW w:w="2891" w:type="dxa"/>
            <w:vAlign w:val="center"/>
          </w:tcPr>
          <w:p>
            <w:pPr>
              <w:pStyle w:val="13"/>
            </w:pPr>
            <w:r>
              <w:t>提高社会对公益救助活动的重视水平</w:t>
            </w:r>
          </w:p>
        </w:tc>
        <w:tc>
          <w:tcPr>
            <w:tcW w:w="1276" w:type="dxa"/>
            <w:vAlign w:val="center"/>
          </w:tcPr>
          <w:p>
            <w:pPr>
              <w:pStyle w:val="13"/>
            </w:pPr>
            <w:r>
              <w:t>提高社会对公益救助活动的重视水平</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被救助对象满意度</w:t>
            </w:r>
          </w:p>
        </w:tc>
        <w:tc>
          <w:tcPr>
            <w:tcW w:w="1276" w:type="dxa"/>
            <w:vAlign w:val="center"/>
          </w:tcPr>
          <w:p>
            <w:pPr>
              <w:pStyle w:val="13"/>
            </w:pPr>
            <w:r>
              <w:t>≥90比率</w:t>
            </w:r>
          </w:p>
        </w:tc>
        <w:tc>
          <w:tcPr>
            <w:tcW w:w="1843" w:type="dxa"/>
            <w:vAlign w:val="center"/>
          </w:tcPr>
          <w:p>
            <w:pPr>
              <w:pStyle w:val="13"/>
            </w:pPr>
            <w:r>
              <w:t>被救助对象满意度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6.政府业务费绩效目标表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434001玉田县人民政府办公室本级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13022925P00JXC4198951</w:t>
            </w:r>
          </w:p>
        </w:tc>
        <w:tc>
          <w:tcPr>
            <w:tcW w:w="1587" w:type="dxa"/>
            <w:vAlign w:val="center"/>
          </w:tcPr>
          <w:p>
            <w:pPr>
              <w:pStyle w:val="14"/>
            </w:pPr>
            <w:r>
              <w:t>项目名称</w:t>
            </w:r>
          </w:p>
        </w:tc>
        <w:tc>
          <w:tcPr>
            <w:tcW w:w="4423" w:type="dxa"/>
            <w:gridSpan w:val="3"/>
            <w:vAlign w:val="center"/>
          </w:tcPr>
          <w:p>
            <w:pPr>
              <w:pStyle w:val="13"/>
            </w:pPr>
            <w:r>
              <w:t>政府业务费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304" w:type="dxa"/>
            <w:vAlign w:val="center"/>
          </w:tcPr>
          <w:p>
            <w:pPr>
              <w:pStyle w:val="13"/>
            </w:pPr>
            <w:r>
              <w:t>200000.00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保证机关正常运转、会议顺利召开，日常工作有序开展。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1.保证机关正常运转、会议顺利召开，日常工作有序开展。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会议服务保障率</w:t>
            </w:r>
          </w:p>
        </w:tc>
        <w:tc>
          <w:tcPr>
            <w:tcW w:w="2891" w:type="dxa"/>
            <w:vAlign w:val="center"/>
          </w:tcPr>
          <w:p>
            <w:pPr>
              <w:pStyle w:val="13"/>
            </w:pPr>
            <w:r>
              <w:t>会议按计划完成的比率</w:t>
            </w:r>
          </w:p>
        </w:tc>
        <w:tc>
          <w:tcPr>
            <w:tcW w:w="1276" w:type="dxa"/>
            <w:vAlign w:val="center"/>
          </w:tcPr>
          <w:p>
            <w:pPr>
              <w:pStyle w:val="13"/>
            </w:pPr>
            <w:r>
              <w:t>≥90比率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办公任务完成率</w:t>
            </w:r>
          </w:p>
        </w:tc>
        <w:tc>
          <w:tcPr>
            <w:tcW w:w="2891" w:type="dxa"/>
            <w:vAlign w:val="center"/>
          </w:tcPr>
          <w:p>
            <w:pPr>
              <w:pStyle w:val="13"/>
            </w:pPr>
            <w:r>
              <w:t>办公任务完成率</w:t>
            </w:r>
          </w:p>
        </w:tc>
        <w:tc>
          <w:tcPr>
            <w:tcW w:w="1276" w:type="dxa"/>
            <w:vAlign w:val="center"/>
          </w:tcPr>
          <w:p>
            <w:pPr>
              <w:pStyle w:val="13"/>
            </w:pPr>
            <w:r>
              <w:t>≥90比率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机关工作运转效率</w:t>
            </w:r>
          </w:p>
        </w:tc>
        <w:tc>
          <w:tcPr>
            <w:tcW w:w="2891" w:type="dxa"/>
            <w:vAlign w:val="center"/>
          </w:tcPr>
          <w:p>
            <w:pPr>
              <w:pStyle w:val="13"/>
            </w:pPr>
            <w:r>
              <w:t>保证各项工作开展及时率</w:t>
            </w:r>
          </w:p>
        </w:tc>
        <w:tc>
          <w:tcPr>
            <w:tcW w:w="1276" w:type="dxa"/>
            <w:vAlign w:val="center"/>
          </w:tcPr>
          <w:p>
            <w:pPr>
              <w:pStyle w:val="13"/>
            </w:pPr>
            <w:r>
              <w:t>≥90比率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控制在预算金额内</w:t>
            </w:r>
          </w:p>
        </w:tc>
        <w:tc>
          <w:tcPr>
            <w:tcW w:w="2891" w:type="dxa"/>
            <w:vAlign w:val="center"/>
          </w:tcPr>
          <w:p>
            <w:pPr>
              <w:pStyle w:val="13"/>
            </w:pPr>
            <w:r>
              <w:t>控制在预算金额内</w:t>
            </w:r>
          </w:p>
        </w:tc>
        <w:tc>
          <w:tcPr>
            <w:tcW w:w="1276" w:type="dxa"/>
            <w:vAlign w:val="center"/>
          </w:tcPr>
          <w:p>
            <w:pPr>
              <w:pStyle w:val="13"/>
            </w:pPr>
            <w:r>
              <w:t>支出不超出预算</w:t>
            </w:r>
          </w:p>
        </w:tc>
        <w:tc>
          <w:tcPr>
            <w:tcW w:w="1843"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保证机关正常办公</w:t>
            </w:r>
          </w:p>
        </w:tc>
        <w:tc>
          <w:tcPr>
            <w:tcW w:w="2891" w:type="dxa"/>
            <w:vAlign w:val="center"/>
          </w:tcPr>
          <w:p>
            <w:pPr>
              <w:pStyle w:val="13"/>
            </w:pPr>
            <w:r>
              <w:t>保证机关正常办公</w:t>
            </w:r>
          </w:p>
        </w:tc>
        <w:tc>
          <w:tcPr>
            <w:tcW w:w="1276" w:type="dxa"/>
            <w:vAlign w:val="center"/>
          </w:tcPr>
          <w:p>
            <w:pPr>
              <w:pStyle w:val="13"/>
            </w:pPr>
            <w:r>
              <w:t>保证机关正常办公</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提高办事效率</w:t>
            </w:r>
          </w:p>
        </w:tc>
        <w:tc>
          <w:tcPr>
            <w:tcW w:w="2891" w:type="dxa"/>
            <w:vAlign w:val="center"/>
          </w:tcPr>
          <w:p>
            <w:pPr>
              <w:pStyle w:val="13"/>
            </w:pPr>
            <w:r>
              <w:t>提高办事效率</w:t>
            </w:r>
          </w:p>
        </w:tc>
        <w:tc>
          <w:tcPr>
            <w:tcW w:w="1276" w:type="dxa"/>
            <w:vAlign w:val="center"/>
          </w:tcPr>
          <w:p>
            <w:pPr>
              <w:pStyle w:val="13"/>
            </w:pPr>
            <w:r>
              <w:t>提高办事效率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提高政务服务水平</w:t>
            </w:r>
          </w:p>
        </w:tc>
        <w:tc>
          <w:tcPr>
            <w:tcW w:w="2891" w:type="dxa"/>
            <w:vAlign w:val="center"/>
          </w:tcPr>
          <w:p>
            <w:pPr>
              <w:pStyle w:val="13"/>
            </w:pPr>
            <w:r>
              <w:t>提高政务服务水平</w:t>
            </w:r>
          </w:p>
        </w:tc>
        <w:tc>
          <w:tcPr>
            <w:tcW w:w="1276" w:type="dxa"/>
            <w:vAlign w:val="center"/>
          </w:tcPr>
          <w:p>
            <w:pPr>
              <w:pStyle w:val="13"/>
            </w:pPr>
            <w:r>
              <w:t>提高政务服务水平</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领导和参会人员满意度</w:t>
            </w:r>
          </w:p>
        </w:tc>
        <w:tc>
          <w:tcPr>
            <w:tcW w:w="1276" w:type="dxa"/>
            <w:vAlign w:val="center"/>
          </w:tcPr>
          <w:p>
            <w:pPr>
              <w:pStyle w:val="13"/>
            </w:pPr>
            <w:r>
              <w:t>≥90比率</w:t>
            </w:r>
          </w:p>
        </w:tc>
        <w:tc>
          <w:tcPr>
            <w:tcW w:w="1843" w:type="dxa"/>
            <w:vAlign w:val="center"/>
          </w:tcPr>
          <w:p>
            <w:pPr>
              <w:pStyle w:val="13"/>
            </w:pPr>
            <w:r>
              <w:t>对会议的满意度</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7.政务服务便民热线外包服务绩效目标表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434001玉田县人民政府办公室本级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13022925P00JXC4198855</w:t>
            </w:r>
          </w:p>
        </w:tc>
        <w:tc>
          <w:tcPr>
            <w:tcW w:w="1587" w:type="dxa"/>
            <w:vAlign w:val="center"/>
          </w:tcPr>
          <w:p>
            <w:pPr>
              <w:pStyle w:val="14"/>
            </w:pPr>
            <w:r>
              <w:t>项目名称</w:t>
            </w:r>
          </w:p>
        </w:tc>
        <w:tc>
          <w:tcPr>
            <w:tcW w:w="4423" w:type="dxa"/>
            <w:gridSpan w:val="3"/>
            <w:vAlign w:val="center"/>
          </w:tcPr>
          <w:p>
            <w:pPr>
              <w:pStyle w:val="13"/>
            </w:pPr>
            <w:r>
              <w:t>政务服务便民热线外包服务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w:t>
            </w:r>
          </w:p>
        </w:tc>
        <w:tc>
          <w:tcPr>
            <w:tcW w:w="1587" w:type="dxa"/>
            <w:vAlign w:val="center"/>
          </w:tcPr>
          <w:p>
            <w:pPr>
              <w:pStyle w:val="14"/>
            </w:pPr>
            <w:r>
              <w:t>其中：财政    资金</w:t>
            </w:r>
          </w:p>
        </w:tc>
        <w:tc>
          <w:tcPr>
            <w:tcW w:w="1304" w:type="dxa"/>
            <w:vAlign w:val="center"/>
          </w:tcPr>
          <w:p>
            <w:pPr>
              <w:pStyle w:val="13"/>
            </w:pPr>
            <w:r>
              <w:t>630000.00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有力保证我县12345政务服务便民热线工作顺利开展，将12345政务服务便民热线话务工作进行外包。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1.接听12345市民服务热线，确保接听率和做好情况反馈工作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群众来电接听率</w:t>
            </w:r>
          </w:p>
        </w:tc>
        <w:tc>
          <w:tcPr>
            <w:tcW w:w="2891" w:type="dxa"/>
            <w:vAlign w:val="center"/>
          </w:tcPr>
          <w:p>
            <w:pPr>
              <w:pStyle w:val="13"/>
            </w:pPr>
            <w:r>
              <w:t>群众来电接听率</w:t>
            </w:r>
          </w:p>
        </w:tc>
        <w:tc>
          <w:tcPr>
            <w:tcW w:w="1276" w:type="dxa"/>
            <w:vAlign w:val="center"/>
          </w:tcPr>
          <w:p>
            <w:pPr>
              <w:pStyle w:val="13"/>
            </w:pPr>
            <w:r>
              <w:t>≥100比率</w:t>
            </w:r>
          </w:p>
        </w:tc>
        <w:tc>
          <w:tcPr>
            <w:tcW w:w="1843" w:type="dxa"/>
            <w:vAlign w:val="center"/>
          </w:tcPr>
          <w:p>
            <w:pPr>
              <w:pStyle w:val="13"/>
            </w:pPr>
            <w:r>
              <w:t>电话记录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群众来电反馈到位率</w:t>
            </w:r>
          </w:p>
        </w:tc>
        <w:tc>
          <w:tcPr>
            <w:tcW w:w="2891" w:type="dxa"/>
            <w:vAlign w:val="center"/>
          </w:tcPr>
          <w:p>
            <w:pPr>
              <w:pStyle w:val="13"/>
            </w:pPr>
            <w:r>
              <w:t>群众来电反馈到位率</w:t>
            </w:r>
          </w:p>
        </w:tc>
        <w:tc>
          <w:tcPr>
            <w:tcW w:w="1276" w:type="dxa"/>
            <w:vAlign w:val="center"/>
          </w:tcPr>
          <w:p>
            <w:pPr>
              <w:pStyle w:val="13"/>
            </w:pPr>
            <w:r>
              <w:t>≥90比率</w:t>
            </w:r>
          </w:p>
        </w:tc>
        <w:tc>
          <w:tcPr>
            <w:tcW w:w="1843" w:type="dxa"/>
            <w:vAlign w:val="center"/>
          </w:tcPr>
          <w:p>
            <w:pPr>
              <w:pStyle w:val="13"/>
            </w:pPr>
            <w:r>
              <w:t>文件处理单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反馈群众反映问题的时效</w:t>
            </w:r>
          </w:p>
        </w:tc>
        <w:tc>
          <w:tcPr>
            <w:tcW w:w="2891" w:type="dxa"/>
            <w:vAlign w:val="center"/>
          </w:tcPr>
          <w:p>
            <w:pPr>
              <w:pStyle w:val="13"/>
            </w:pPr>
            <w:r>
              <w:t>反馈群众反映问题的时效</w:t>
            </w:r>
          </w:p>
        </w:tc>
        <w:tc>
          <w:tcPr>
            <w:tcW w:w="1276" w:type="dxa"/>
            <w:vAlign w:val="center"/>
          </w:tcPr>
          <w:p>
            <w:pPr>
              <w:pStyle w:val="13"/>
            </w:pPr>
            <w:r>
              <w:t>≤7工作日</w:t>
            </w:r>
          </w:p>
        </w:tc>
        <w:tc>
          <w:tcPr>
            <w:tcW w:w="1843" w:type="dxa"/>
            <w:vAlign w:val="center"/>
          </w:tcPr>
          <w:p>
            <w:pPr>
              <w:pStyle w:val="13"/>
            </w:pPr>
            <w:r>
              <w:t>文件处理单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控制在预算金额内</w:t>
            </w:r>
          </w:p>
        </w:tc>
        <w:tc>
          <w:tcPr>
            <w:tcW w:w="2891" w:type="dxa"/>
            <w:vAlign w:val="center"/>
          </w:tcPr>
          <w:p>
            <w:pPr>
              <w:pStyle w:val="13"/>
            </w:pPr>
            <w:r>
              <w:t>控制在预算金额内</w:t>
            </w:r>
          </w:p>
        </w:tc>
        <w:tc>
          <w:tcPr>
            <w:tcW w:w="1276" w:type="dxa"/>
            <w:vAlign w:val="center"/>
          </w:tcPr>
          <w:p>
            <w:pPr>
              <w:pStyle w:val="13"/>
            </w:pPr>
            <w:r>
              <w:t>支出不超出预算</w:t>
            </w:r>
          </w:p>
        </w:tc>
        <w:tc>
          <w:tcPr>
            <w:tcW w:w="1843" w:type="dxa"/>
            <w:vAlign w:val="center"/>
          </w:tcPr>
          <w:p>
            <w:pPr>
              <w:pStyle w:val="13"/>
            </w:pPr>
            <w:r>
              <w:t>支出不超出预算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保障电子政务中心正常运转</w:t>
            </w:r>
          </w:p>
        </w:tc>
        <w:tc>
          <w:tcPr>
            <w:tcW w:w="2891" w:type="dxa"/>
            <w:vAlign w:val="center"/>
          </w:tcPr>
          <w:p>
            <w:pPr>
              <w:pStyle w:val="13"/>
            </w:pPr>
            <w:r>
              <w:t>保障电子政务中心正常运转</w:t>
            </w:r>
          </w:p>
        </w:tc>
        <w:tc>
          <w:tcPr>
            <w:tcW w:w="1276" w:type="dxa"/>
            <w:vAlign w:val="center"/>
          </w:tcPr>
          <w:p>
            <w:pPr>
              <w:pStyle w:val="13"/>
            </w:pPr>
            <w:r>
              <w:t>保障电子政务中心正常运转</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提高办事效率</w:t>
            </w:r>
          </w:p>
        </w:tc>
        <w:tc>
          <w:tcPr>
            <w:tcW w:w="2891" w:type="dxa"/>
            <w:vAlign w:val="center"/>
          </w:tcPr>
          <w:p>
            <w:pPr>
              <w:pStyle w:val="13"/>
            </w:pPr>
            <w:r>
              <w:t>提高办事效率</w:t>
            </w:r>
          </w:p>
        </w:tc>
        <w:tc>
          <w:tcPr>
            <w:tcW w:w="1276" w:type="dxa"/>
            <w:vAlign w:val="center"/>
          </w:tcPr>
          <w:p>
            <w:pPr>
              <w:pStyle w:val="13"/>
            </w:pPr>
            <w:r>
              <w:t>提高办事效率</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及时反馈群众实际问题，维护社会稳定</w:t>
            </w:r>
          </w:p>
        </w:tc>
        <w:tc>
          <w:tcPr>
            <w:tcW w:w="2891" w:type="dxa"/>
            <w:vAlign w:val="center"/>
          </w:tcPr>
          <w:p>
            <w:pPr>
              <w:pStyle w:val="13"/>
            </w:pPr>
            <w:r>
              <w:t>及时反馈群众实际问题，维护社会稳定</w:t>
            </w:r>
          </w:p>
        </w:tc>
        <w:tc>
          <w:tcPr>
            <w:tcW w:w="1276" w:type="dxa"/>
            <w:vAlign w:val="center"/>
          </w:tcPr>
          <w:p>
            <w:pPr>
              <w:pStyle w:val="13"/>
            </w:pPr>
            <w:r>
              <w:t>解决群众实际问题，维护社会稳定</w:t>
            </w:r>
          </w:p>
        </w:tc>
        <w:tc>
          <w:tcPr>
            <w:tcW w:w="1843"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群众对12345便民热线服务的满意程度</w:t>
            </w:r>
          </w:p>
        </w:tc>
        <w:tc>
          <w:tcPr>
            <w:tcW w:w="1276" w:type="dxa"/>
            <w:vAlign w:val="center"/>
          </w:tcPr>
          <w:p>
            <w:pPr>
              <w:pStyle w:val="13"/>
            </w:pPr>
            <w:r>
              <w:t>≥90比率</w:t>
            </w:r>
          </w:p>
        </w:tc>
        <w:tc>
          <w:tcPr>
            <w:tcW w:w="1843" w:type="dxa"/>
            <w:vAlign w:val="center"/>
          </w:tcPr>
          <w:p>
            <w:pPr>
              <w:pStyle w:val="13"/>
            </w:pPr>
            <w:r>
              <w:t>群众对12345便民热线服务</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FD31C4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TotalTime>0</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2025-01-19T15:09:00Z</dcterms:created>
  <dc:creator>Administrator</dc:creator>
  <cp:lastModifiedBy>Administrator</cp:lastModifiedBy>
  <dcterms:modified xsi:type="dcterms:W3CDTF">2025-01-24T01:50:24Z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