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pPr/>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441玉田县行政审批局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12631334.06</w:t>
            </w:r>
          </w:p>
        </w:tc>
        <w:tc>
          <w:tcPr>
            <w:tcW w:w="4535" w:type="dxa"/>
            <w:vAlign w:val="center"/>
          </w:tcPr>
          <w:p>
            <w:pPr>
              <w:pStyle w:val="13"/>
            </w:pPr>
            <w:r>
              <w:t>一、一般公共服务支出</w:t>
            </w:r>
          </w:p>
        </w:tc>
        <w:tc>
          <w:tcPr>
            <w:tcW w:w="2126" w:type="dxa"/>
            <w:vAlign w:val="center"/>
          </w:tcPr>
          <w:p>
            <w:pPr>
              <w:pStyle w:val="12"/>
            </w:pPr>
            <w:r>
              <w:t>12565334.06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12631334.06</w:t>
            </w:r>
          </w:p>
        </w:tc>
        <w:tc>
          <w:tcPr>
            <w:tcW w:w="4535" w:type="dxa"/>
            <w:vAlign w:val="center"/>
          </w:tcPr>
          <w:p>
            <w:pPr>
              <w:pStyle w:val="15"/>
            </w:pPr>
            <w:r>
              <w:t>本年支出合计</w:t>
            </w:r>
          </w:p>
        </w:tc>
        <w:tc>
          <w:tcPr>
            <w:tcW w:w="2126" w:type="dxa"/>
            <w:vAlign w:val="center"/>
          </w:tcPr>
          <w:p>
            <w:pPr>
              <w:pStyle w:val="16"/>
            </w:pPr>
            <w:r>
              <w:t>12631334.06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12631334.06</w:t>
            </w:r>
          </w:p>
        </w:tc>
        <w:tc>
          <w:tcPr>
            <w:tcW w:w="4535" w:type="dxa"/>
            <w:vAlign w:val="center"/>
          </w:tcPr>
          <w:p>
            <w:pPr>
              <w:pStyle w:val="15"/>
            </w:pPr>
            <w:r>
              <w:t>支出总计</w:t>
            </w:r>
          </w:p>
        </w:tc>
        <w:tc>
          <w:tcPr>
            <w:tcW w:w="2126" w:type="dxa"/>
            <w:vAlign w:val="center"/>
          </w:tcPr>
          <w:p>
            <w:pPr>
              <w:pStyle w:val="16"/>
            </w:pPr>
            <w:r>
              <w:t>12631334.06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441玉田县行政审批局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p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p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12631334.06</w:t>
            </w:r>
          </w:p>
        </w:tc>
        <w:tc>
          <w:tcPr>
            <w:tcW w:w="1134" w:type="dxa"/>
            <w:vAlign w:val="center"/>
          </w:tcPr>
          <w:p>
            <w:pPr>
              <w:pStyle w:val="16"/>
            </w:pPr>
            <w:r>
              <w:t>12631334.06</w:t>
            </w:r>
          </w:p>
        </w:tc>
        <w:tc>
          <w:tcPr>
            <w:tcW w:w="1134" w:type="dxa"/>
            <w:vAlign w:val="center"/>
          </w:tcPr>
          <w:p>
            <w:pPr>
              <w:pStyle w:val="16"/>
            </w:pPr>
            <w:r>
              <w:t>12631334.06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12565334.06</w:t>
            </w:r>
          </w:p>
        </w:tc>
        <w:tc>
          <w:tcPr>
            <w:tcW w:w="1134" w:type="dxa"/>
            <w:vAlign w:val="center"/>
          </w:tcPr>
          <w:p>
            <w:pPr>
              <w:pStyle w:val="12"/>
            </w:pPr>
            <w:r>
              <w:t>12565334.06</w:t>
            </w:r>
          </w:p>
        </w:tc>
        <w:tc>
          <w:tcPr>
            <w:tcW w:w="1134" w:type="dxa"/>
            <w:vAlign w:val="center"/>
          </w:tcPr>
          <w:p>
            <w:pPr>
              <w:pStyle w:val="12"/>
            </w:pPr>
            <w:r>
              <w:t>12565334.06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12565334.06</w:t>
            </w:r>
          </w:p>
        </w:tc>
        <w:tc>
          <w:tcPr>
            <w:tcW w:w="1134" w:type="dxa"/>
            <w:vAlign w:val="center"/>
          </w:tcPr>
          <w:p>
            <w:pPr>
              <w:pStyle w:val="12"/>
            </w:pPr>
            <w:r>
              <w:t>12565334.06</w:t>
            </w:r>
          </w:p>
        </w:tc>
        <w:tc>
          <w:tcPr>
            <w:tcW w:w="1134" w:type="dxa"/>
            <w:vAlign w:val="center"/>
          </w:tcPr>
          <w:p>
            <w:pPr>
              <w:pStyle w:val="12"/>
            </w:pPr>
            <w:r>
              <w:t>12565334.06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2010306</w:t>
            </w:r>
          </w:p>
        </w:tc>
        <w:tc>
          <w:tcPr>
            <w:tcW w:w="1559" w:type="dxa"/>
            <w:vAlign w:val="center"/>
          </w:tcPr>
          <w:p>
            <w:pPr>
              <w:pStyle w:val="13"/>
            </w:pPr>
            <w:r>
              <w:t>政务公开审批</w:t>
            </w:r>
          </w:p>
        </w:tc>
        <w:tc>
          <w:tcPr>
            <w:tcW w:w="1134" w:type="dxa"/>
            <w:vAlign w:val="center"/>
          </w:tcPr>
          <w:p>
            <w:pPr>
              <w:pStyle w:val="12"/>
            </w:pPr>
            <w:r>
              <w:t>12565334.06</w:t>
            </w:r>
          </w:p>
        </w:tc>
        <w:tc>
          <w:tcPr>
            <w:tcW w:w="1134" w:type="dxa"/>
            <w:vAlign w:val="center"/>
          </w:tcPr>
          <w:p>
            <w:pPr>
              <w:pStyle w:val="12"/>
            </w:pPr>
            <w:r>
              <w:t>12565334.06</w:t>
            </w:r>
          </w:p>
        </w:tc>
        <w:tc>
          <w:tcPr>
            <w:tcW w:w="1134" w:type="dxa"/>
            <w:vAlign w:val="center"/>
          </w:tcPr>
          <w:p>
            <w:pPr>
              <w:pStyle w:val="12"/>
            </w:pPr>
            <w:r>
              <w:t>12565334.06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66000.00</w:t>
            </w:r>
          </w:p>
        </w:tc>
        <w:tc>
          <w:tcPr>
            <w:tcW w:w="1134" w:type="dxa"/>
            <w:vAlign w:val="center"/>
          </w:tcPr>
          <w:p>
            <w:pPr>
              <w:pStyle w:val="12"/>
            </w:pPr>
            <w:r>
              <w:t>66000.00</w:t>
            </w:r>
          </w:p>
        </w:tc>
        <w:tc>
          <w:tcPr>
            <w:tcW w:w="1134" w:type="dxa"/>
            <w:vAlign w:val="center"/>
          </w:tcPr>
          <w:p>
            <w:pPr>
              <w:pStyle w:val="12"/>
            </w:pPr>
            <w:r>
              <w:t>66000.00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66000.00</w:t>
            </w:r>
          </w:p>
        </w:tc>
        <w:tc>
          <w:tcPr>
            <w:tcW w:w="1134" w:type="dxa"/>
            <w:vAlign w:val="center"/>
          </w:tcPr>
          <w:p>
            <w:pPr>
              <w:pStyle w:val="12"/>
            </w:pPr>
            <w:r>
              <w:t>66000.00</w:t>
            </w:r>
          </w:p>
        </w:tc>
        <w:tc>
          <w:tcPr>
            <w:tcW w:w="1134" w:type="dxa"/>
            <w:vAlign w:val="center"/>
          </w:tcPr>
          <w:p>
            <w:pPr>
              <w:pStyle w:val="12"/>
            </w:pPr>
            <w:r>
              <w:t>66000.00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66000.00</w:t>
            </w:r>
          </w:p>
        </w:tc>
        <w:tc>
          <w:tcPr>
            <w:tcW w:w="1134" w:type="dxa"/>
            <w:vAlign w:val="center"/>
          </w:tcPr>
          <w:p>
            <w:pPr>
              <w:pStyle w:val="12"/>
            </w:pPr>
            <w:r>
              <w:t>66000.00</w:t>
            </w:r>
          </w:p>
        </w:tc>
        <w:tc>
          <w:tcPr>
            <w:tcW w:w="1134" w:type="dxa"/>
            <w:vAlign w:val="center"/>
          </w:tcPr>
          <w:p>
            <w:pPr>
              <w:pStyle w:val="12"/>
            </w:pPr>
            <w:r>
              <w:t>66000.00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441玉田县行政审批局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12631334.06</w:t>
            </w:r>
          </w:p>
        </w:tc>
        <w:tc>
          <w:tcPr>
            <w:tcW w:w="1361" w:type="dxa"/>
            <w:vAlign w:val="center"/>
          </w:tcPr>
          <w:p>
            <w:pPr>
              <w:pStyle w:val="16"/>
            </w:pPr>
            <w:r>
              <w:t>9312101.42</w:t>
            </w:r>
          </w:p>
        </w:tc>
        <w:tc>
          <w:tcPr>
            <w:tcW w:w="1361" w:type="dxa"/>
            <w:vAlign w:val="center"/>
          </w:tcPr>
          <w:p>
            <w:pPr>
              <w:pStyle w:val="16"/>
            </w:pPr>
            <w:r>
              <w:t>3319232.64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12565334.06</w:t>
            </w:r>
          </w:p>
        </w:tc>
        <w:tc>
          <w:tcPr>
            <w:tcW w:w="1361" w:type="dxa"/>
            <w:vAlign w:val="center"/>
          </w:tcPr>
          <w:p>
            <w:pPr>
              <w:pStyle w:val="12"/>
            </w:pPr>
            <w:r>
              <w:t>9312101.42</w:t>
            </w:r>
          </w:p>
        </w:tc>
        <w:tc>
          <w:tcPr>
            <w:tcW w:w="1361" w:type="dxa"/>
            <w:vAlign w:val="center"/>
          </w:tcPr>
          <w:p>
            <w:pPr>
              <w:pStyle w:val="12"/>
            </w:pPr>
            <w:r>
              <w:t>3253232.64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12565334.06</w:t>
            </w:r>
          </w:p>
        </w:tc>
        <w:tc>
          <w:tcPr>
            <w:tcW w:w="1361" w:type="dxa"/>
            <w:vAlign w:val="center"/>
          </w:tcPr>
          <w:p>
            <w:pPr>
              <w:pStyle w:val="12"/>
            </w:pPr>
            <w:r>
              <w:t>9312101.42</w:t>
            </w:r>
          </w:p>
        </w:tc>
        <w:tc>
          <w:tcPr>
            <w:tcW w:w="1361" w:type="dxa"/>
            <w:vAlign w:val="center"/>
          </w:tcPr>
          <w:p>
            <w:pPr>
              <w:pStyle w:val="12"/>
            </w:pPr>
            <w:r>
              <w:t>3253232.64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2010306</w:t>
            </w:r>
          </w:p>
        </w:tc>
        <w:tc>
          <w:tcPr>
            <w:tcW w:w="4535" w:type="dxa"/>
            <w:vAlign w:val="center"/>
          </w:tcPr>
          <w:p>
            <w:pPr>
              <w:pStyle w:val="13"/>
            </w:pPr>
            <w:r>
              <w:t>政务公开审批</w:t>
            </w:r>
          </w:p>
        </w:tc>
        <w:tc>
          <w:tcPr>
            <w:tcW w:w="1361" w:type="dxa"/>
            <w:vAlign w:val="center"/>
          </w:tcPr>
          <w:p>
            <w:pPr>
              <w:pStyle w:val="12"/>
            </w:pPr>
            <w:r>
              <w:t>12565334.06</w:t>
            </w:r>
          </w:p>
        </w:tc>
        <w:tc>
          <w:tcPr>
            <w:tcW w:w="1361" w:type="dxa"/>
            <w:vAlign w:val="center"/>
          </w:tcPr>
          <w:p>
            <w:pPr>
              <w:pStyle w:val="12"/>
            </w:pPr>
            <w:r>
              <w:t>9312101.42</w:t>
            </w:r>
          </w:p>
        </w:tc>
        <w:tc>
          <w:tcPr>
            <w:tcW w:w="1361" w:type="dxa"/>
            <w:vAlign w:val="center"/>
          </w:tcPr>
          <w:p>
            <w:pPr>
              <w:pStyle w:val="12"/>
            </w:pPr>
            <w:r>
              <w:t>3253232.64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66000.00</w:t>
            </w:r>
          </w:p>
        </w:tc>
        <w:tc>
          <w:tcPr>
            <w:tcW w:w="1361" w:type="dxa"/>
            <w:vAlign w:val="center"/>
          </w:tcPr>
          <w:p>
            <w:pPr>
              <w:pStyle w:val="12"/>
            </w:pPr>
          </w:p>
        </w:tc>
        <w:tc>
          <w:tcPr>
            <w:tcW w:w="1361" w:type="dxa"/>
            <w:vAlign w:val="center"/>
          </w:tcPr>
          <w:p>
            <w:pPr>
              <w:pStyle w:val="12"/>
            </w:pPr>
            <w:r>
              <w:t>66000.00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66000.00</w:t>
            </w:r>
          </w:p>
        </w:tc>
        <w:tc>
          <w:tcPr>
            <w:tcW w:w="1361" w:type="dxa"/>
            <w:vAlign w:val="center"/>
          </w:tcPr>
          <w:p>
            <w:pPr>
              <w:pStyle w:val="12"/>
            </w:pPr>
          </w:p>
        </w:tc>
        <w:tc>
          <w:tcPr>
            <w:tcW w:w="1361" w:type="dxa"/>
            <w:vAlign w:val="center"/>
          </w:tcPr>
          <w:p>
            <w:pPr>
              <w:pStyle w:val="12"/>
            </w:pPr>
            <w:r>
              <w:t>66000.00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66000.00</w:t>
            </w:r>
          </w:p>
        </w:tc>
        <w:tc>
          <w:tcPr>
            <w:tcW w:w="1361" w:type="dxa"/>
            <w:vAlign w:val="center"/>
          </w:tcPr>
          <w:p>
            <w:pPr>
              <w:pStyle w:val="12"/>
            </w:pPr>
          </w:p>
        </w:tc>
        <w:tc>
          <w:tcPr>
            <w:tcW w:w="1361" w:type="dxa"/>
            <w:vAlign w:val="center"/>
          </w:tcPr>
          <w:p>
            <w:pPr>
              <w:pStyle w:val="12"/>
            </w:pPr>
            <w:r>
              <w:t>66000.00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441玉田县行政审批局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12631334.06</w:t>
            </w:r>
          </w:p>
        </w:tc>
        <w:tc>
          <w:tcPr>
            <w:tcW w:w="3402" w:type="dxa"/>
            <w:vAlign w:val="center"/>
          </w:tcPr>
          <w:p>
            <w:pPr>
              <w:pStyle w:val="13"/>
            </w:pPr>
            <w:r>
              <w:t>一、一般公共服务支出</w:t>
            </w:r>
          </w:p>
        </w:tc>
        <w:tc>
          <w:tcPr>
            <w:tcW w:w="1474" w:type="dxa"/>
            <w:vAlign w:val="center"/>
          </w:tcPr>
          <w:p>
            <w:pPr>
              <w:pStyle w:val="12"/>
            </w:pPr>
            <w:r>
              <w:t>12565334.06</w:t>
            </w:r>
          </w:p>
        </w:tc>
        <w:tc>
          <w:tcPr>
            <w:tcW w:w="1474" w:type="dxa"/>
            <w:vAlign w:val="center"/>
          </w:tcPr>
          <w:p>
            <w:pPr>
              <w:pStyle w:val="12"/>
            </w:pPr>
            <w:r>
              <w:t>12565334.06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66000.00</w:t>
            </w:r>
          </w:p>
        </w:tc>
        <w:tc>
          <w:tcPr>
            <w:tcW w:w="1474" w:type="dxa"/>
            <w:vAlign w:val="center"/>
          </w:tcPr>
          <w:p>
            <w:pPr>
              <w:pStyle w:val="12"/>
            </w:pPr>
            <w:r>
              <w:t>66000.00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12631334.06</w:t>
            </w:r>
          </w:p>
        </w:tc>
        <w:tc>
          <w:tcPr>
            <w:tcW w:w="3402" w:type="dxa"/>
            <w:vAlign w:val="center"/>
          </w:tcPr>
          <w:p>
            <w:pPr>
              <w:pStyle w:val="15"/>
            </w:pPr>
            <w:r>
              <w:t>本年支出合计</w:t>
            </w:r>
          </w:p>
        </w:tc>
        <w:tc>
          <w:tcPr>
            <w:tcW w:w="1474" w:type="dxa"/>
            <w:vAlign w:val="center"/>
          </w:tcPr>
          <w:p>
            <w:pPr>
              <w:pStyle w:val="16"/>
            </w:pPr>
            <w:r>
              <w:t>12631334.06</w:t>
            </w:r>
          </w:p>
        </w:tc>
        <w:tc>
          <w:tcPr>
            <w:tcW w:w="1474" w:type="dxa"/>
            <w:vAlign w:val="center"/>
          </w:tcPr>
          <w:p>
            <w:pPr>
              <w:pStyle w:val="16"/>
            </w:pPr>
            <w:r>
              <w:t>12631334.06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12631334.06</w:t>
            </w:r>
          </w:p>
        </w:tc>
        <w:tc>
          <w:tcPr>
            <w:tcW w:w="3402" w:type="dxa"/>
            <w:vAlign w:val="center"/>
          </w:tcPr>
          <w:p>
            <w:pPr>
              <w:pStyle w:val="15"/>
            </w:pPr>
            <w:r>
              <w:t>支出总计</w:t>
            </w:r>
          </w:p>
        </w:tc>
        <w:tc>
          <w:tcPr>
            <w:tcW w:w="1474" w:type="dxa"/>
            <w:vAlign w:val="center"/>
          </w:tcPr>
          <w:p>
            <w:pPr>
              <w:pStyle w:val="16"/>
            </w:pPr>
            <w:r>
              <w:t>12631334.06</w:t>
            </w:r>
          </w:p>
        </w:tc>
        <w:tc>
          <w:tcPr>
            <w:tcW w:w="1474" w:type="dxa"/>
            <w:vAlign w:val="center"/>
          </w:tcPr>
          <w:p>
            <w:pPr>
              <w:pStyle w:val="16"/>
            </w:pPr>
            <w:r>
              <w:t>12631334.06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441玉田县行政审批局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12631334.06</w:t>
            </w:r>
          </w:p>
        </w:tc>
        <w:tc>
          <w:tcPr>
            <w:tcW w:w="2551" w:type="dxa"/>
            <w:vAlign w:val="center"/>
          </w:tcPr>
          <w:p>
            <w:pPr>
              <w:pStyle w:val="16"/>
            </w:pPr>
            <w:r>
              <w:t>9312101.42</w:t>
            </w:r>
          </w:p>
        </w:tc>
        <w:tc>
          <w:tcPr>
            <w:tcW w:w="2551" w:type="dxa"/>
            <w:vAlign w:val="center"/>
          </w:tcPr>
          <w:p>
            <w:pPr>
              <w:pStyle w:val="16"/>
            </w:pPr>
            <w:r>
              <w:t>3319232.64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12565334.06</w:t>
            </w:r>
          </w:p>
        </w:tc>
        <w:tc>
          <w:tcPr>
            <w:tcW w:w="2551" w:type="dxa"/>
            <w:vAlign w:val="center"/>
          </w:tcPr>
          <w:p>
            <w:pPr>
              <w:pStyle w:val="12"/>
            </w:pPr>
            <w:r>
              <w:t>9312101.42</w:t>
            </w:r>
          </w:p>
        </w:tc>
        <w:tc>
          <w:tcPr>
            <w:tcW w:w="2551" w:type="dxa"/>
            <w:vAlign w:val="center"/>
          </w:tcPr>
          <w:p>
            <w:pPr>
              <w:pStyle w:val="12"/>
            </w:pPr>
            <w:r>
              <w:t>3253232.64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12565334.06</w:t>
            </w:r>
          </w:p>
        </w:tc>
        <w:tc>
          <w:tcPr>
            <w:tcW w:w="2551" w:type="dxa"/>
            <w:vAlign w:val="center"/>
          </w:tcPr>
          <w:p>
            <w:pPr>
              <w:pStyle w:val="12"/>
            </w:pPr>
            <w:r>
              <w:t>9312101.42</w:t>
            </w:r>
          </w:p>
        </w:tc>
        <w:tc>
          <w:tcPr>
            <w:tcW w:w="2551" w:type="dxa"/>
            <w:vAlign w:val="center"/>
          </w:tcPr>
          <w:p>
            <w:pPr>
              <w:pStyle w:val="12"/>
            </w:pPr>
            <w:r>
              <w:t>3253232.64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2010306</w:t>
            </w:r>
          </w:p>
        </w:tc>
        <w:tc>
          <w:tcPr>
            <w:tcW w:w="4535" w:type="dxa"/>
            <w:vAlign w:val="center"/>
          </w:tcPr>
          <w:p>
            <w:pPr>
              <w:pStyle w:val="13"/>
            </w:pPr>
            <w:r>
              <w:t>政务公开审批</w:t>
            </w:r>
          </w:p>
        </w:tc>
        <w:tc>
          <w:tcPr>
            <w:tcW w:w="2551" w:type="dxa"/>
            <w:vAlign w:val="center"/>
          </w:tcPr>
          <w:p>
            <w:pPr>
              <w:pStyle w:val="12"/>
            </w:pPr>
            <w:r>
              <w:t>12565334.06</w:t>
            </w:r>
          </w:p>
        </w:tc>
        <w:tc>
          <w:tcPr>
            <w:tcW w:w="2551" w:type="dxa"/>
            <w:vAlign w:val="center"/>
          </w:tcPr>
          <w:p>
            <w:pPr>
              <w:pStyle w:val="12"/>
            </w:pPr>
            <w:r>
              <w:t>9312101.42</w:t>
            </w:r>
          </w:p>
        </w:tc>
        <w:tc>
          <w:tcPr>
            <w:tcW w:w="2551" w:type="dxa"/>
            <w:vAlign w:val="center"/>
          </w:tcPr>
          <w:p>
            <w:pPr>
              <w:pStyle w:val="12"/>
            </w:pPr>
            <w:r>
              <w:t>3253232.64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66000.00</w:t>
            </w:r>
          </w:p>
        </w:tc>
        <w:tc>
          <w:tcPr>
            <w:tcW w:w="2551" w:type="dxa"/>
            <w:vAlign w:val="center"/>
          </w:tcPr>
          <w:p>
            <w:pPr>
              <w:pStyle w:val="12"/>
            </w:pPr>
          </w:p>
        </w:tc>
        <w:tc>
          <w:tcPr>
            <w:tcW w:w="2551" w:type="dxa"/>
            <w:vAlign w:val="center"/>
          </w:tcPr>
          <w:p>
            <w:pPr>
              <w:pStyle w:val="12"/>
            </w:pPr>
            <w:r>
              <w:t>66000.00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66000.00</w:t>
            </w:r>
          </w:p>
        </w:tc>
        <w:tc>
          <w:tcPr>
            <w:tcW w:w="2551" w:type="dxa"/>
            <w:vAlign w:val="center"/>
          </w:tcPr>
          <w:p>
            <w:pPr>
              <w:pStyle w:val="12"/>
            </w:pPr>
          </w:p>
        </w:tc>
        <w:tc>
          <w:tcPr>
            <w:tcW w:w="2551" w:type="dxa"/>
            <w:vAlign w:val="center"/>
          </w:tcPr>
          <w:p>
            <w:pPr>
              <w:pStyle w:val="12"/>
            </w:pPr>
            <w:r>
              <w:t>66000.00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66000.00</w:t>
            </w:r>
          </w:p>
        </w:tc>
        <w:tc>
          <w:tcPr>
            <w:tcW w:w="2551" w:type="dxa"/>
            <w:vAlign w:val="center"/>
          </w:tcPr>
          <w:p>
            <w:pPr>
              <w:pStyle w:val="12"/>
            </w:pPr>
          </w:p>
        </w:tc>
        <w:tc>
          <w:tcPr>
            <w:tcW w:w="2551" w:type="dxa"/>
            <w:vAlign w:val="center"/>
          </w:tcPr>
          <w:p>
            <w:pPr>
              <w:pStyle w:val="12"/>
            </w:pPr>
            <w:r>
              <w:t>66000.00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441玉田县行政审批局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9312101.42</w:t>
            </w:r>
          </w:p>
        </w:tc>
        <w:tc>
          <w:tcPr>
            <w:tcW w:w="2551" w:type="dxa"/>
            <w:vAlign w:val="center"/>
          </w:tcPr>
          <w:p>
            <w:pPr>
              <w:pStyle w:val="16"/>
            </w:pPr>
            <w:r>
              <w:t>7961709.42</w:t>
            </w:r>
          </w:p>
        </w:tc>
        <w:tc>
          <w:tcPr>
            <w:tcW w:w="2551" w:type="dxa"/>
            <w:vAlign w:val="center"/>
          </w:tcPr>
          <w:p>
            <w:pPr>
              <w:pStyle w:val="16"/>
            </w:pPr>
            <w:r>
              <w:t>1350392.00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7933467.42</w:t>
            </w:r>
          </w:p>
        </w:tc>
        <w:tc>
          <w:tcPr>
            <w:tcW w:w="2551" w:type="dxa"/>
            <w:vAlign w:val="center"/>
          </w:tcPr>
          <w:p>
            <w:pPr>
              <w:pStyle w:val="12"/>
            </w:pPr>
            <w:r>
              <w:t>7933467.42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2770848.91</w:t>
            </w:r>
          </w:p>
        </w:tc>
        <w:tc>
          <w:tcPr>
            <w:tcW w:w="2551" w:type="dxa"/>
            <w:vAlign w:val="center"/>
          </w:tcPr>
          <w:p>
            <w:pPr>
              <w:pStyle w:val="12"/>
            </w:pPr>
            <w:r>
              <w:t>2770848.91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956532.00</w:t>
            </w:r>
          </w:p>
        </w:tc>
        <w:tc>
          <w:tcPr>
            <w:tcW w:w="2551" w:type="dxa"/>
            <w:vAlign w:val="center"/>
          </w:tcPr>
          <w:p>
            <w:pPr>
              <w:pStyle w:val="12"/>
            </w:pPr>
            <w:r>
              <w:t>956532.00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327515.00</w:t>
            </w:r>
          </w:p>
        </w:tc>
        <w:tc>
          <w:tcPr>
            <w:tcW w:w="2551" w:type="dxa"/>
            <w:vAlign w:val="center"/>
          </w:tcPr>
          <w:p>
            <w:pPr>
              <w:pStyle w:val="12"/>
            </w:pPr>
            <w:r>
              <w:t>327515.00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1494464.14</w:t>
            </w:r>
          </w:p>
        </w:tc>
        <w:tc>
          <w:tcPr>
            <w:tcW w:w="2551" w:type="dxa"/>
            <w:vAlign w:val="center"/>
          </w:tcPr>
          <w:p>
            <w:pPr>
              <w:pStyle w:val="12"/>
            </w:pPr>
            <w:r>
              <w:t>1494464.14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826732.02</w:t>
            </w:r>
          </w:p>
        </w:tc>
        <w:tc>
          <w:tcPr>
            <w:tcW w:w="2551" w:type="dxa"/>
            <w:vAlign w:val="center"/>
          </w:tcPr>
          <w:p>
            <w:pPr>
              <w:pStyle w:val="12"/>
            </w:pPr>
            <w:r>
              <w:t>826732.02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344152.58</w:t>
            </w:r>
          </w:p>
        </w:tc>
        <w:tc>
          <w:tcPr>
            <w:tcW w:w="2551" w:type="dxa"/>
            <w:vAlign w:val="center"/>
          </w:tcPr>
          <w:p>
            <w:pPr>
              <w:pStyle w:val="12"/>
            </w:pPr>
            <w:r>
              <w:t>344152.58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367026.81</w:t>
            </w:r>
          </w:p>
        </w:tc>
        <w:tc>
          <w:tcPr>
            <w:tcW w:w="2551" w:type="dxa"/>
            <w:vAlign w:val="center"/>
          </w:tcPr>
          <w:p>
            <w:pPr>
              <w:pStyle w:val="12"/>
            </w:pPr>
            <w:r>
              <w:t>367026.81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91756.70</w:t>
            </w:r>
          </w:p>
        </w:tc>
        <w:tc>
          <w:tcPr>
            <w:tcW w:w="2551" w:type="dxa"/>
            <w:vAlign w:val="center"/>
          </w:tcPr>
          <w:p>
            <w:pPr>
              <w:pStyle w:val="12"/>
            </w:pPr>
            <w:r>
              <w:t>91756.70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642651.26</w:t>
            </w:r>
          </w:p>
        </w:tc>
        <w:tc>
          <w:tcPr>
            <w:tcW w:w="2551" w:type="dxa"/>
            <w:vAlign w:val="center"/>
          </w:tcPr>
          <w:p>
            <w:pPr>
              <w:pStyle w:val="12"/>
            </w:pPr>
            <w:r>
              <w:t>642651.26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111788.00</w:t>
            </w:r>
          </w:p>
        </w:tc>
        <w:tc>
          <w:tcPr>
            <w:tcW w:w="2551" w:type="dxa"/>
            <w:vAlign w:val="center"/>
          </w:tcPr>
          <w:p>
            <w:pPr>
              <w:pStyle w:val="12"/>
            </w:pPr>
            <w:r>
              <w:t>111788.00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1350392.00</w:t>
            </w:r>
          </w:p>
        </w:tc>
        <w:tc>
          <w:tcPr>
            <w:tcW w:w="2551" w:type="dxa"/>
            <w:vAlign w:val="center"/>
          </w:tcPr>
          <w:p>
            <w:pPr>
              <w:pStyle w:val="12"/>
            </w:pPr>
          </w:p>
        </w:tc>
        <w:tc>
          <w:tcPr>
            <w:tcW w:w="2551" w:type="dxa"/>
            <w:vAlign w:val="center"/>
          </w:tcPr>
          <w:p>
            <w:pPr>
              <w:pStyle w:val="12"/>
            </w:pPr>
            <w:r>
              <w:t>1350392.00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32000.00</w:t>
            </w:r>
          </w:p>
        </w:tc>
        <w:tc>
          <w:tcPr>
            <w:tcW w:w="2551" w:type="dxa"/>
            <w:vAlign w:val="center"/>
          </w:tcPr>
          <w:p>
            <w:pPr>
              <w:pStyle w:val="12"/>
            </w:pPr>
          </w:p>
        </w:tc>
        <w:tc>
          <w:tcPr>
            <w:tcW w:w="2551" w:type="dxa"/>
            <w:vAlign w:val="center"/>
          </w:tcPr>
          <w:p>
            <w:pPr>
              <w:pStyle w:val="12"/>
            </w:pPr>
            <w:r>
              <w:t>32000.00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18720.00</w:t>
            </w:r>
          </w:p>
        </w:tc>
        <w:tc>
          <w:tcPr>
            <w:tcW w:w="2551" w:type="dxa"/>
            <w:vAlign w:val="center"/>
          </w:tcPr>
          <w:p>
            <w:pPr>
              <w:pStyle w:val="12"/>
            </w:pPr>
          </w:p>
        </w:tc>
        <w:tc>
          <w:tcPr>
            <w:tcW w:w="2551" w:type="dxa"/>
            <w:vAlign w:val="center"/>
          </w:tcPr>
          <w:p>
            <w:pPr>
              <w:pStyle w:val="12"/>
            </w:pPr>
            <w:r>
              <w:t>18720.00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304902.00</w:t>
            </w:r>
          </w:p>
        </w:tc>
        <w:tc>
          <w:tcPr>
            <w:tcW w:w="2551" w:type="dxa"/>
            <w:vAlign w:val="center"/>
          </w:tcPr>
          <w:p>
            <w:pPr>
              <w:pStyle w:val="12"/>
            </w:pPr>
          </w:p>
        </w:tc>
        <w:tc>
          <w:tcPr>
            <w:tcW w:w="2551" w:type="dxa"/>
            <w:vAlign w:val="center"/>
          </w:tcPr>
          <w:p>
            <w:pPr>
              <w:pStyle w:val="12"/>
            </w:pPr>
            <w:r>
              <w:t>304902.00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22976.00</w:t>
            </w:r>
          </w:p>
        </w:tc>
        <w:tc>
          <w:tcPr>
            <w:tcW w:w="2551" w:type="dxa"/>
            <w:vAlign w:val="center"/>
          </w:tcPr>
          <w:p>
            <w:pPr>
              <w:pStyle w:val="12"/>
            </w:pPr>
          </w:p>
        </w:tc>
        <w:tc>
          <w:tcPr>
            <w:tcW w:w="2551" w:type="dxa"/>
            <w:vAlign w:val="center"/>
          </w:tcPr>
          <w:p>
            <w:pPr>
              <w:pStyle w:val="12"/>
            </w:pPr>
            <w:r>
              <w:t>22976.00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139190.00</w:t>
            </w:r>
          </w:p>
        </w:tc>
        <w:tc>
          <w:tcPr>
            <w:tcW w:w="2551" w:type="dxa"/>
            <w:vAlign w:val="center"/>
          </w:tcPr>
          <w:p>
            <w:pPr>
              <w:pStyle w:val="12"/>
            </w:pPr>
          </w:p>
        </w:tc>
        <w:tc>
          <w:tcPr>
            <w:tcW w:w="2551" w:type="dxa"/>
            <w:vAlign w:val="center"/>
          </w:tcPr>
          <w:p>
            <w:pPr>
              <w:pStyle w:val="12"/>
            </w:pPr>
            <w:r>
              <w:t>139190.00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43104.00</w:t>
            </w:r>
          </w:p>
        </w:tc>
        <w:tc>
          <w:tcPr>
            <w:tcW w:w="2551" w:type="dxa"/>
            <w:vAlign w:val="center"/>
          </w:tcPr>
          <w:p>
            <w:pPr>
              <w:pStyle w:val="12"/>
            </w:pPr>
          </w:p>
        </w:tc>
        <w:tc>
          <w:tcPr>
            <w:tcW w:w="2551" w:type="dxa"/>
            <w:vAlign w:val="center"/>
          </w:tcPr>
          <w:p>
            <w:pPr>
              <w:pStyle w:val="12"/>
            </w:pPr>
            <w:r>
              <w:t>43104.00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32000.00</w:t>
            </w:r>
          </w:p>
        </w:tc>
        <w:tc>
          <w:tcPr>
            <w:tcW w:w="2551" w:type="dxa"/>
            <w:vAlign w:val="center"/>
          </w:tcPr>
          <w:p>
            <w:pPr>
              <w:pStyle w:val="12"/>
            </w:pPr>
          </w:p>
        </w:tc>
        <w:tc>
          <w:tcPr>
            <w:tcW w:w="2551" w:type="dxa"/>
            <w:vAlign w:val="center"/>
          </w:tcPr>
          <w:p>
            <w:pPr>
              <w:pStyle w:val="12"/>
            </w:pPr>
            <w:r>
              <w:t>32000.00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216000.00</w:t>
            </w:r>
          </w:p>
        </w:tc>
        <w:tc>
          <w:tcPr>
            <w:tcW w:w="2551" w:type="dxa"/>
            <w:vAlign w:val="center"/>
          </w:tcPr>
          <w:p>
            <w:pPr>
              <w:pStyle w:val="12"/>
            </w:pPr>
          </w:p>
        </w:tc>
        <w:tc>
          <w:tcPr>
            <w:tcW w:w="2551" w:type="dxa"/>
            <w:vAlign w:val="center"/>
          </w:tcPr>
          <w:p>
            <w:pPr>
              <w:pStyle w:val="12"/>
            </w:pPr>
            <w:r>
              <w:t>216000.00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3200.00</w:t>
            </w:r>
          </w:p>
        </w:tc>
        <w:tc>
          <w:tcPr>
            <w:tcW w:w="2551" w:type="dxa"/>
            <w:vAlign w:val="center"/>
          </w:tcPr>
          <w:p>
            <w:pPr>
              <w:pStyle w:val="12"/>
            </w:pPr>
          </w:p>
        </w:tc>
        <w:tc>
          <w:tcPr>
            <w:tcW w:w="2551" w:type="dxa"/>
            <w:vAlign w:val="center"/>
          </w:tcPr>
          <w:p>
            <w:pPr>
              <w:pStyle w:val="12"/>
            </w:pPr>
            <w:r>
              <w:t>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8800.00</w:t>
            </w:r>
          </w:p>
        </w:tc>
        <w:tc>
          <w:tcPr>
            <w:tcW w:w="2551" w:type="dxa"/>
            <w:vAlign w:val="center"/>
          </w:tcPr>
          <w:p>
            <w:pPr>
              <w:pStyle w:val="12"/>
            </w:pPr>
          </w:p>
        </w:tc>
        <w:tc>
          <w:tcPr>
            <w:tcW w:w="2551" w:type="dxa"/>
            <w:vAlign w:val="center"/>
          </w:tcPr>
          <w:p>
            <w:pPr>
              <w:pStyle w:val="12"/>
            </w:pPr>
            <w:r>
              <w:t>8800.00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30227</w:t>
            </w:r>
          </w:p>
        </w:tc>
        <w:tc>
          <w:tcPr>
            <w:tcW w:w="4535" w:type="dxa"/>
            <w:vAlign w:val="center"/>
          </w:tcPr>
          <w:p>
            <w:pPr>
              <w:pStyle w:val="13"/>
            </w:pPr>
            <w:r>
              <w:t>委托业务费</w:t>
            </w:r>
          </w:p>
        </w:tc>
        <w:tc>
          <w:tcPr>
            <w:tcW w:w="2551" w:type="dxa"/>
            <w:vAlign w:val="center"/>
          </w:tcPr>
          <w:p>
            <w:pPr>
              <w:pStyle w:val="12"/>
            </w:pPr>
            <w:r>
              <w:t>150000.00</w:t>
            </w:r>
          </w:p>
        </w:tc>
        <w:tc>
          <w:tcPr>
            <w:tcW w:w="2551" w:type="dxa"/>
            <w:vAlign w:val="center"/>
          </w:tcPr>
          <w:p>
            <w:pPr>
              <w:pStyle w:val="12"/>
            </w:pPr>
          </w:p>
        </w:tc>
        <w:tc>
          <w:tcPr>
            <w:tcW w:w="2551" w:type="dxa"/>
            <w:vAlign w:val="center"/>
          </w:tcPr>
          <w:p>
            <w:pPr>
              <w:pStyle w:val="12"/>
            </w:pPr>
            <w:r>
              <w:t>150000.00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51200.00</w:t>
            </w:r>
          </w:p>
        </w:tc>
        <w:tc>
          <w:tcPr>
            <w:tcW w:w="2551" w:type="dxa"/>
            <w:vAlign w:val="center"/>
          </w:tcPr>
          <w:p>
            <w:pPr>
              <w:pStyle w:val="12"/>
            </w:pPr>
          </w:p>
        </w:tc>
        <w:tc>
          <w:tcPr>
            <w:tcW w:w="2551" w:type="dxa"/>
            <w:vAlign w:val="center"/>
          </w:tcPr>
          <w:p>
            <w:pPr>
              <w:pStyle w:val="12"/>
            </w:pPr>
            <w:r>
              <w:t>51200.00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64000.00</w:t>
            </w:r>
          </w:p>
        </w:tc>
        <w:tc>
          <w:tcPr>
            <w:tcW w:w="2551" w:type="dxa"/>
            <w:vAlign w:val="center"/>
          </w:tcPr>
          <w:p>
            <w:pPr>
              <w:pStyle w:val="12"/>
            </w:pPr>
          </w:p>
        </w:tc>
        <w:tc>
          <w:tcPr>
            <w:tcW w:w="2551" w:type="dxa"/>
            <w:vAlign w:val="center"/>
          </w:tcPr>
          <w:p>
            <w:pPr>
              <w:pStyle w:val="12"/>
            </w:pPr>
            <w:r>
              <w:t>64000.00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168600.00</w:t>
            </w:r>
          </w:p>
        </w:tc>
        <w:tc>
          <w:tcPr>
            <w:tcW w:w="2551" w:type="dxa"/>
            <w:vAlign w:val="center"/>
          </w:tcPr>
          <w:p>
            <w:pPr>
              <w:pStyle w:val="12"/>
            </w:pPr>
          </w:p>
        </w:tc>
        <w:tc>
          <w:tcPr>
            <w:tcW w:w="2551" w:type="dxa"/>
            <w:vAlign w:val="center"/>
          </w:tcPr>
          <w:p>
            <w:pPr>
              <w:pStyle w:val="12"/>
            </w:pPr>
            <w:r>
              <w:t>168600.00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2700.00</w:t>
            </w:r>
          </w:p>
        </w:tc>
        <w:tc>
          <w:tcPr>
            <w:tcW w:w="2551" w:type="dxa"/>
            <w:vAlign w:val="center"/>
          </w:tcPr>
          <w:p>
            <w:pPr>
              <w:pStyle w:val="12"/>
            </w:pPr>
          </w:p>
        </w:tc>
        <w:tc>
          <w:tcPr>
            <w:tcW w:w="2551" w:type="dxa"/>
            <w:vAlign w:val="center"/>
          </w:tcPr>
          <w:p>
            <w:pPr>
              <w:pStyle w:val="12"/>
            </w:pPr>
            <w:r>
              <w:t>2700.00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28242.00</w:t>
            </w:r>
          </w:p>
        </w:tc>
        <w:tc>
          <w:tcPr>
            <w:tcW w:w="2551" w:type="dxa"/>
            <w:vAlign w:val="center"/>
          </w:tcPr>
          <w:p>
            <w:pPr>
              <w:pStyle w:val="12"/>
            </w:pPr>
            <w:r>
              <w:t>28242.00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27882.00</w:t>
            </w:r>
          </w:p>
        </w:tc>
        <w:tc>
          <w:tcPr>
            <w:tcW w:w="2551" w:type="dxa"/>
            <w:vAlign w:val="center"/>
          </w:tcPr>
          <w:p>
            <w:pPr>
              <w:pStyle w:val="12"/>
            </w:pPr>
            <w:r>
              <w:t>27882.00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360.00</w:t>
            </w:r>
          </w:p>
        </w:tc>
        <w:tc>
          <w:tcPr>
            <w:tcW w:w="2551" w:type="dxa"/>
            <w:vAlign w:val="center"/>
          </w:tcPr>
          <w:p>
            <w:pPr>
              <w:pStyle w:val="12"/>
            </w:pPr>
            <w:r>
              <w:t>360.00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441玉田县行政审批局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441玉田县行政审批局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441玉田县行政审批局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pPr/>
          </w:p>
        </w:tc>
        <w:tc>
          <w:tcPr>
            <w:tcW w:w="3798" w:type="dxa"/>
            <w:vMerge w:val="continue"/>
          </w:tcPr>
          <w:p>
            <w:p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rPr>
                <w:rFonts w:hint="eastAsia"/>
                <w:lang w:val="en-US" w:eastAsia="zh-CN"/>
              </w:rPr>
              <w:t>111800</w:t>
            </w:r>
            <w:r>
              <w:t>.00</w:t>
            </w:r>
          </w:p>
        </w:tc>
        <w:tc>
          <w:tcPr>
            <w:tcW w:w="2381" w:type="dxa"/>
            <w:vAlign w:val="center"/>
          </w:tcPr>
          <w:p>
            <w:pPr>
              <w:pStyle w:val="16"/>
            </w:pPr>
            <w:r>
              <w:rPr>
                <w:rFonts w:hint="eastAsia"/>
                <w:lang w:val="en-US" w:eastAsia="zh-CN"/>
              </w:rPr>
              <w:t>111800</w:t>
            </w:r>
            <w:r>
              <w:t>.00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rPr>
                <w:rFonts w:hint="eastAsia"/>
                <w:lang w:val="en-US" w:eastAsia="zh-CN"/>
              </w:rPr>
              <w:t>111800</w:t>
            </w:r>
            <w:r>
              <w:t>.00</w:t>
            </w:r>
          </w:p>
        </w:tc>
        <w:tc>
          <w:tcPr>
            <w:tcW w:w="2381" w:type="dxa"/>
            <w:vAlign w:val="center"/>
          </w:tcPr>
          <w:p>
            <w:pPr>
              <w:pStyle w:val="12"/>
            </w:pPr>
            <w:r>
              <w:rPr>
                <w:rFonts w:hint="eastAsia"/>
                <w:lang w:val="en-US" w:eastAsia="zh-CN"/>
              </w:rPr>
              <w:t>111800</w:t>
            </w:r>
            <w:r>
              <w:t>.00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103000.00</w:t>
            </w:r>
          </w:p>
        </w:tc>
        <w:tc>
          <w:tcPr>
            <w:tcW w:w="2381" w:type="dxa"/>
            <w:vAlign w:val="center"/>
          </w:tcPr>
          <w:p>
            <w:pPr>
              <w:pStyle w:val="12"/>
            </w:pPr>
            <w:r>
              <w:t>103000.00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r>
              <w:t>80000.00</w:t>
            </w:r>
          </w:p>
        </w:tc>
        <w:tc>
          <w:tcPr>
            <w:tcW w:w="2381" w:type="dxa"/>
            <w:vAlign w:val="center"/>
          </w:tcPr>
          <w:p>
            <w:pPr>
              <w:pStyle w:val="12"/>
            </w:pPr>
            <w:r>
              <w:t>80000.00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rPr>
                <w:rFonts w:hint="eastAsia" w:eastAsia="方正书宋_GBK"/>
                <w:lang w:val="en-US" w:eastAsia="zh-CN"/>
              </w:rPr>
            </w:pPr>
            <w:r>
              <w:rPr>
                <w:rFonts w:hint="eastAsia"/>
                <w:lang w:val="en-US" w:eastAsia="zh-CN"/>
              </w:rPr>
              <w:t>8800.00</w:t>
            </w:r>
          </w:p>
        </w:tc>
        <w:tc>
          <w:tcPr>
            <w:tcW w:w="2381" w:type="dxa"/>
            <w:vAlign w:val="center"/>
          </w:tcPr>
          <w:p>
            <w:pPr>
              <w:pStyle w:val="12"/>
              <w:rPr>
                <w:rFonts w:hint="eastAsia" w:eastAsia="方正书宋_GBK"/>
                <w:lang w:val="en-US" w:eastAsia="zh-CN"/>
              </w:rPr>
            </w:pPr>
            <w:r>
              <w:rPr>
                <w:rFonts w:hint="eastAsia"/>
                <w:lang w:val="en-US" w:eastAsia="zh-CN"/>
              </w:rPr>
              <w:t>8800.00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玉田县行政审批局2025年部门预算信息公开情况说明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玉田县行政审批局2025年部门预算信息公开情况说明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按照《中华人民共和国预算法》、《地方预决算公开操作规程》和《关于进一步推进预算公开工作的实施意见》规定，现将玉田县行政审批局2025年部门预算公开如下：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按照《预算法》、《地方预决算公开操作规程》和《关于进一步推进预算公开工作的实施意见》规定，现将玉田县行政审批局2024年部门预算公开如下：</w:t>
      </w:r>
    </w:p>
    <w:p>
      <w:pPr>
        <w:pStyle w:val="18"/>
      </w:pPr>
      <w:r>
        <w:t>一、部门职责及机构设置情况</w:t>
      </w:r>
    </w:p>
    <w:p>
      <w:pPr>
        <w:pStyle w:val="18"/>
      </w:pPr>
      <w:r>
        <w:t>部门职责：</w:t>
      </w:r>
    </w:p>
    <w:p>
      <w:pPr>
        <w:pStyle w:val="18"/>
      </w:pPr>
      <w:r>
        <w:t>（一）负责会同有关部门贯彻落实国家、省、市有关行政审批制度改革的决定和行政审批相关法律、法规，创新和完善相关工作体制机制，制定各项相关规章制度和管理办法，并组织实施。</w:t>
      </w:r>
    </w:p>
    <w:p>
      <w:pPr>
        <w:pStyle w:val="18"/>
      </w:pPr>
      <w:r>
        <w:t>（二）负责注册登记、投资项目、文教卫生、交通城管、安全质监、社会事务、涉农事务等方面行政审批、政务服务事项的办理及相关行政性收费，并承担相应的法律责任。负责及时向有关职能部门通报行政审批、政务服务事项办理情况。</w:t>
      </w:r>
    </w:p>
    <w:p>
      <w:pPr>
        <w:pStyle w:val="18"/>
      </w:pPr>
      <w:r>
        <w:t>（三）负责对行政审批、政务服务事项进行流程再造、优化环节、压缩时限、跟踪督办，协调解决事项办理中存在的问题。推进行政审批、政务服务标准化建设，负责派驻部门行政审批工作的规范、管理和监督。负责政务公开工作。</w:t>
      </w:r>
    </w:p>
    <w:p>
      <w:pPr>
        <w:pStyle w:val="18"/>
      </w:pPr>
      <w:r>
        <w:t>（四）负责统一协调、组织实施行政审批涉及的现场勘察、专家评审、技术论证和社会听证等工作。负责指导、协调、监督行政审批中介服务机构开展服务工作。</w:t>
      </w:r>
    </w:p>
    <w:p>
      <w:pPr>
        <w:pStyle w:val="18"/>
      </w:pPr>
      <w:r>
        <w:t>（五）负责全县公共资源交易工作的指导和协调。负责组织拟定同意的公共资源交易规则和操作规程。负责对进入县公共资源交易平台的交易活动实施现场监督。负责法律法规尚未明确监管部门的交易事项的监管。</w:t>
      </w:r>
    </w:p>
    <w:p>
      <w:pPr>
        <w:pStyle w:val="18"/>
      </w:pPr>
      <w:r>
        <w:t>（六）负责县综合服务中、县公共资源交易中心综合平台建设，会同有关部门加强行政审批、政务服务、公共资源交易等信息化建设和管理。</w:t>
      </w:r>
    </w:p>
    <w:p>
      <w:pPr>
        <w:pStyle w:val="18"/>
      </w:pPr>
      <w:r>
        <w:t>（七）负责对行政审批、政务服务行为进行监督检查，对窗口工作人员进行日常管理、教育培训和绩效考核。负责对进入县政务服务平台的行政审批、公共资源交易活动及其他政务服务等事项的投诉举报的承办、转办和督办工作，配合有关部门查处违法、违规、违纪问题。</w:t>
      </w:r>
    </w:p>
    <w:p>
      <w:pPr>
        <w:pStyle w:val="18"/>
      </w:pPr>
      <w:r>
        <w:t>（八）负责全县各级政务服务体系建设，监理公共服务运行规程和考核体系。</w:t>
      </w:r>
    </w:p>
    <w:p>
      <w:pPr>
        <w:pStyle w:val="18"/>
      </w:pPr>
      <w:r>
        <w:t>（九）承办县委、县政府交办的其他事项。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玉田县行政审批局本级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按照预算管理有关规定，目前部门预算的编制实行综合预算管理，即全部收入和支出都反映在预算中。玉田县行政审批局机关及所属事业单位的收支包含在部门预算中。</w:t>
      </w:r>
    </w:p>
    <w:p>
      <w:pPr>
        <w:pStyle w:val="19"/>
      </w:pPr>
      <w:r>
        <w:t>1、收入说明</w:t>
      </w:r>
    </w:p>
    <w:p>
      <w:pPr>
        <w:pStyle w:val="19"/>
      </w:pPr>
      <w:r>
        <w:t>反映本部门当年全部收入。2025年预算收入12631334.06元，其中：一般公共预算收入12631334.06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玉田县行政审批局年度部门预算中支出预算的总体情况。2025年支出预算12631334.06元，其中基本支出9312101.42元，包括人员经费7961709.42元和日常公用经费1350392.00元；项目支出3319232.64元</w:t>
      </w:r>
      <w:r>
        <w:rPr>
          <w:rFonts w:hint="eastAsia"/>
          <w:lang w:eastAsia="zh-CN"/>
        </w:rPr>
        <w:t>。人员经费具体</w:t>
      </w:r>
      <w:r>
        <w:t>为</w:t>
      </w:r>
      <w:r>
        <w:rPr>
          <w:rFonts w:hint="eastAsia"/>
          <w:lang w:eastAsia="zh-CN"/>
        </w:rPr>
        <w:t>行政事业</w:t>
      </w:r>
      <w:r>
        <w:t xml:space="preserve">人员经费7352992.89元，长聘人员工资保险111788元，其他人员经费496928.53元。 </w:t>
      </w:r>
      <w:r>
        <w:rPr>
          <w:rFonts w:hint="eastAsia"/>
          <w:lang w:eastAsia="zh-CN"/>
        </w:rPr>
        <w:t>公用经费</w:t>
      </w:r>
      <w:r>
        <w:t xml:space="preserve">包括办公费32000元，印刷费50000元，水费18720元，电费216000元，邮电费22976元，取暖费139190元，物业管理费43104元，差旅费32000元，维修费50000元，培训费3200元，公务接待费8800元，公车运行维护费23000元，老干部经费2700元，劳务费150000元，交通补贴168600元，工会费51200元，福利费64000元，网络维护费166000元，空调制冷费67350元，电梯费21552元，律师咨询费20000元。 </w:t>
      </w:r>
      <w:r>
        <w:rPr>
          <w:rFonts w:hint="eastAsia"/>
          <w:lang w:eastAsia="zh-CN"/>
        </w:rPr>
        <w:t>项目经费</w:t>
      </w:r>
      <w:r>
        <w:t>包括政务服务中心场地租赁项目2160000元，行政审批业务经费500000元，劳务派遣人员经费413232.64元，优化营商环境项目经费100000元，公车购置项目80000元，残疾人保障金项目66000元。</w:t>
      </w:r>
    </w:p>
    <w:p>
      <w:pPr>
        <w:pStyle w:val="19"/>
      </w:pPr>
      <w:r>
        <w:t>3、比上年增减情况</w:t>
      </w:r>
    </w:p>
    <w:p>
      <w:pPr>
        <w:pStyle w:val="19"/>
      </w:pPr>
      <w:r>
        <w:t>2025年预算收支安排12631334.06元，较2024年预算减少263033.42元，主要原因是2024年“优化营商环境新开办企业首套印章免费刻制”项目在2025年暂缓申报，节约财政资金750000元，审批业务经费减少预算安排135000元，，2025年新增项目预算559232.64元，基本支出人员预算增加62733.94元，冲抵之后减少预算263033.42元。项目支出减少325767.36万元，主要为2025年项目支出预算安排3319232.64元，比2024年少325767.36元，原因是2024年“优化营商环境新开办企业首套印章免费刻制”项目在2025年暂缓申报，节约财政资金750000元，审批业务经费减少预算安排135000元，2025年新增项目预算559232.64元，冲抵之后项目预算减少325767.36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eastAsia"/>
          <w:lang w:val="en-US" w:eastAsia="zh-CN"/>
        </w:rPr>
        <w:t>5</w:t>
      </w:r>
      <w:r>
        <w:t>年，我部门机关运行经费共计安排</w:t>
      </w:r>
      <w:r>
        <w:rPr>
          <w:rFonts w:hint="eastAsia"/>
          <w:lang w:val="en-US" w:eastAsia="zh-CN"/>
        </w:rPr>
        <w:t>1350392</w:t>
      </w:r>
      <w:r>
        <w:t>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w:t>
      </w:r>
      <w:r>
        <w:rPr>
          <w:rFonts w:hint="eastAsia"/>
          <w:lang w:val="en-US" w:eastAsia="zh-CN"/>
        </w:rPr>
        <w:t>111800</w:t>
      </w:r>
      <w:r>
        <w:t>元，其中因公出国（境）费0.00万元；公务用车购置及运维费</w:t>
      </w:r>
      <w:r>
        <w:rPr>
          <w:rFonts w:hint="eastAsia"/>
          <w:lang w:val="en-US" w:eastAsia="zh-CN"/>
        </w:rPr>
        <w:t>103000</w:t>
      </w:r>
      <w:r>
        <w:t>元（其中：公务用车购置费为</w:t>
      </w:r>
      <w:r>
        <w:rPr>
          <w:rFonts w:hint="eastAsia"/>
          <w:lang w:val="en-US" w:eastAsia="zh-CN"/>
        </w:rPr>
        <w:t>80000</w:t>
      </w:r>
      <w:r>
        <w:t>元，公务用车运维费</w:t>
      </w:r>
      <w:r>
        <w:rPr>
          <w:rFonts w:hint="eastAsia"/>
          <w:lang w:val="en-US" w:eastAsia="zh-CN"/>
        </w:rPr>
        <w:t>23000</w:t>
      </w:r>
      <w:r>
        <w:t>元)；公务接待费</w:t>
      </w:r>
      <w:r>
        <w:rPr>
          <w:rFonts w:hint="eastAsia"/>
          <w:lang w:val="en-US" w:eastAsia="zh-CN"/>
        </w:rPr>
        <w:t>8800</w:t>
      </w:r>
      <w:r>
        <w:t>元。与2024年相比增加</w:t>
      </w:r>
      <w:r>
        <w:rPr>
          <w:rFonts w:hint="eastAsia"/>
          <w:lang w:val="en-US" w:eastAsia="zh-CN"/>
        </w:rPr>
        <w:t>80000</w:t>
      </w:r>
      <w:r>
        <w:t>元，增减变化的主要原因是</w:t>
      </w:r>
      <w:r>
        <w:rPr>
          <w:rFonts w:hint="eastAsia"/>
          <w:lang w:val="en-US" w:eastAsia="zh-CN"/>
        </w:rPr>
        <w:t>2</w:t>
      </w:r>
      <w:r>
        <w:t>025年我部门财政拨款“三公”经费预算安排公务用车购置及运维费</w:t>
      </w:r>
      <w:r>
        <w:rPr>
          <w:rFonts w:hint="eastAsia"/>
          <w:lang w:val="en-US" w:eastAsia="zh-CN"/>
        </w:rPr>
        <w:t>103000</w:t>
      </w:r>
      <w:r>
        <w:t>元（其中：公务用车购置费为80000元，公务用车运维费23000元)；与2024年相比增加80000元， 增减变化的主要原因是：2024年底审批局公车报废，经上级批准购买公车一辆，增加了公车购置项目安排资金80000元。 公务接待费</w:t>
      </w:r>
      <w:r>
        <w:rPr>
          <w:rFonts w:hint="eastAsia"/>
          <w:lang w:eastAsia="zh-CN"/>
        </w:rPr>
        <w:t>安排</w:t>
      </w:r>
      <w:r>
        <w:rPr>
          <w:rFonts w:hint="eastAsia"/>
          <w:lang w:val="en-US" w:eastAsia="zh-CN"/>
        </w:rPr>
        <w:t>8800</w:t>
      </w:r>
      <w:r>
        <w:t>元</w:t>
      </w:r>
      <w:r>
        <w:rPr>
          <w:rFonts w:hint="eastAsia"/>
          <w:lang w:eastAsia="zh-CN"/>
        </w:rPr>
        <w:t>，与</w:t>
      </w:r>
      <w:r>
        <w:rPr>
          <w:rFonts w:hint="eastAsia"/>
          <w:lang w:val="en-US" w:eastAsia="zh-CN"/>
        </w:rPr>
        <w:t>2024年相比减少1080元。</w:t>
      </w:r>
    </w:p>
    <w:p>
      <w:pPr>
        <w:pStyle w:val="21"/>
        <w:ind w:left="0" w:leftChars="0" w:firstLine="0" w:firstLineChars="0"/>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r>
        <w:rPr>
          <w:rFonts w:hint="eastAsia" w:eastAsia="方正仿宋_GBK" w:cs="Times New Roman"/>
          <w:color w:val="000000"/>
          <w:sz w:val="28"/>
          <w:lang w:eastAsia="zh-CN"/>
        </w:rPr>
        <w:t>：</w:t>
      </w:r>
    </w:p>
    <w:p>
      <w:pPr>
        <w:pStyle w:val="22"/>
      </w:pPr>
      <w:r>
        <w:t>总体绩效目标：2025年，我局将围绕“科创商贸名城、京东魅力玉田”这一发展目标，以优化投资服务软环境，提升政府审批高效能为着力点，打造审批服务高地，进一步提升办事群众和企业的获得感和满意度，在推动营商环境持续优化、推动政务服务水平不断提升、推动基层权责下放“甩锅”“一放了之”问题专项整治工作稳步开展等方面多措并举，强劲发力，为推进我县政府职能深刻转变，打造一流营商环境，突出抓好以下工作：</w:t>
      </w:r>
    </w:p>
    <w:p>
      <w:pPr>
        <w:pStyle w:val="22"/>
      </w:pPr>
      <w:r>
        <w:t>1.持续优化营商环境。2025年，我局将重点围绕提高办事指南准确度、提升市场主体准入便利度等方面工作，认真找差距、补短板、强弱项，争取为我县打造市场化、法治化、国际化的一流营商环境作出新的更大贡献。</w:t>
      </w:r>
    </w:p>
    <w:p>
      <w:pPr>
        <w:pStyle w:val="22"/>
      </w:pPr>
      <w:r>
        <w:t>2.持续推动行政审批制度改革。一是按照省市统一部署，持续做好省、市下放行政许可事项的承接工作，及时编制流程图和办事指南，严格依法实施。二是持续与工业园区等单位沟通协调，深化“拿地即开工”“承诺即开工”改革。三是继续深化推动“高效办成一件事”改革工作，从企业和群众视角出发，把“高效办成一件事”作为优化政务服务、提升行政效能的重要抓手，深入推进政务服务提质增效，持续提升企业和群众办事便利度和获得感。</w:t>
      </w:r>
    </w:p>
    <w:p>
      <w:pPr>
        <w:pStyle w:val="22"/>
      </w:pPr>
      <w:r>
        <w:t>（</w:t>
      </w:r>
      <w:r>
        <w:rPr>
          <w:rFonts w:hint="eastAsia"/>
          <w:lang w:eastAsia="zh-CN"/>
        </w:rPr>
        <w:t>二</w:t>
      </w:r>
      <w:r>
        <w:t>）持续加强社会信用体系建设。一是实现信用修复线下“只进一门”、线上“一网办理”，提供更加优质的信用修复服务。二是持续推行市场主体以专项信用报告替代有无违法违规证明。加强与县内各职能单位沟通，重点做好融资信用服务信用信息归集、共享、应用，引导企业和银行等金融机构入驻融资信用服务平台。三是加强“双公示”以及各类信息报送监测，打造我县亮点工作，助推我县信用工作再上新台阶。</w:t>
      </w:r>
    </w:p>
    <w:p>
      <w:pPr>
        <w:pStyle w:val="22"/>
      </w:pPr>
      <w:r>
        <w:t>（</w:t>
      </w:r>
      <w:r>
        <w:rPr>
          <w:rFonts w:hint="eastAsia"/>
          <w:lang w:eastAsia="zh-CN"/>
        </w:rPr>
        <w:t>三</w:t>
      </w:r>
      <w:r>
        <w:t>）持续做好政务服务大厅便捷高效运行。</w:t>
      </w:r>
    </w:p>
    <w:p>
      <w:pPr>
        <w:pStyle w:val="23"/>
      </w:pPr>
      <w:r>
        <w:t>二、分项绩效目标</w:t>
      </w:r>
    </w:p>
    <w:p>
      <w:pPr>
        <w:pStyle w:val="23"/>
      </w:pPr>
      <w:r>
        <w:t>（一）政务审批业务绩效目标：按照玉办字【2019】31号关于印发《玉田县行政审批局职能配置、内设机构和人员编制规定》的通知，加快推进政务审批工作改革，优化审批流程，健全清单管理体系，继续推动政务服务“一网通办”在省、市政务服务大厅示范引领作用下，按照“一门、一网”的要求，不断完善综合性集中服务模式，推进县政务服务中心和乡镇(街道)便民服务中心(站)、村级代办点审批服务标准化和规范化建设，推动横向部门间、上下层级间信息共享。绩效目标：1、指导协调全县政务服务管理、审批制度改革工作，有序开展县级各部门行政审批事项和公共服务事项的集中办理，并承担一定的责任。进行“一揽子”整合，实施审批服务流程再造，探索各类审批服务事项“串改并”，各类审查与验收“单改综”，各类检验检测认定认证事项“多变少”，实行联合勘验、联合审图、联合测绘、联合验收，推进企业群众办一件事“最多跑一次”。</w:t>
      </w:r>
    </w:p>
    <w:p>
      <w:pPr>
        <w:pStyle w:val="23"/>
      </w:pPr>
      <w:r>
        <w:t>2、统筹推进全县“互联网+政务服务”工作，建设全县一体化政务平台。县本级事项网上可办率均不低于90%，推动100项以上政务服务事项实现全省和跨省(区、市)“一网通办”。严格实行“135”办结制，落实“马上办、网上办、就近办、一次办”清单，实现个人事项就近能办、多点可办、少跑快办。3、指导监督乡镇（街道）便民服务中心业务工作，优化政务服务管理模式。</w:t>
      </w:r>
    </w:p>
    <w:p>
      <w:pPr>
        <w:pStyle w:val="23"/>
      </w:pPr>
      <w:r>
        <w:t>（二）优化营商环境绩效目标：按照河北省政府推进政府职能转变和“放管服”改革协调小组办公室关于印发《市级行政审批局行政许可事项划转指导目录》和《县级行政审批局行政许可事项划转指导目录》的通知要求，持续深化“一枚印章管审批”改革，必划事项按程序尽快全部划转到位，应划事项分期分批，逐步到位，不断推动审批职能、审批权限、审批人员向县行政审批局划转，实现省市县三级统一。社会信用体系建设绩效目标：各重点领域信用信息系统全部建成，完善省市县乡五级数据平台，构建纵向上联国家，下联市、县（市、区）、乡（镇、街道）、村（社区），横向联通各部门信用信息系统的纵横贯通的全省信用信息“一张网”。加大信息共享力度，全面推进政务公开，将“双公示”“红黑名单”以及失信被执行人信用监督、警示和惩戒等信息列入政务公开事项。1、协同各部门逐步完善社会信用体系平台基础信息录入。2、建立守信联合激励机制。3、建立失信联合惩戒机制。4、初步构建守信联合激励和失信联合惩戒协同机制。</w:t>
      </w:r>
    </w:p>
    <w:p>
      <w:pPr>
        <w:pStyle w:val="23"/>
      </w:pPr>
      <w:r>
        <w:t>（三）持续推进政务服务中心软硬件建设，为群众提供高效便捷的办事环境。</w:t>
      </w:r>
    </w:p>
    <w:p>
      <w:pPr>
        <w:spacing w:before="0" w:after="0" w:line="500" w:lineRule="exact"/>
        <w:ind w:firstLine="560"/>
        <w:jc w:val="left"/>
        <w:outlineLvl w:val="9"/>
      </w:pPr>
      <w:r>
        <w:rPr>
          <w:rFonts w:hint="eastAsia" w:eastAsia="方正仿宋_GBK" w:cs="Times New Roman"/>
          <w:color w:val="000000"/>
          <w:sz w:val="28"/>
          <w:lang w:eastAsia="zh-CN"/>
        </w:rPr>
        <w:t>三、</w:t>
      </w:r>
      <w:r>
        <w:rPr>
          <w:rFonts w:ascii="Times New Roman" w:hAnsi="Times New Roman" w:eastAsia="方正仿宋_GBK" w:cs="Times New Roman"/>
          <w:color w:val="000000"/>
          <w:sz w:val="28"/>
        </w:rPr>
        <w:t>工作保障措施</w:t>
      </w:r>
    </w:p>
    <w:p>
      <w:pPr>
        <w:pStyle w:val="24"/>
      </w:pPr>
      <w:r>
        <w:t>实现本年度发展规划目标的保障措施：</w:t>
      </w:r>
    </w:p>
    <w:p>
      <w:pPr>
        <w:pStyle w:val="24"/>
      </w:pPr>
      <w:r>
        <w:t>1.完善制度建设：目前，全县共有171项审批事项纳入政务服务大厅，其中，我局承担120项，6个派驻单位承担51项。对全部审批事项进行流程再造，对照目录清单，逐项编制“玉田县行政审批局服务指南（审批标准）手册”，方便群众办事。</w:t>
      </w:r>
    </w:p>
    <w:p>
      <w:pPr>
        <w:pStyle w:val="24"/>
      </w:pPr>
      <w:r>
        <w:t>2.加强支出管理：开展重大活动：按省、市统一部署，积极配合全省一体化平台建设与对接，同时加快推进政务服务“一网通办”，在全市率先试运行河北省政务服务网——玉田县平台，整理录入审批事项204项，政务服务事项网上办理率达到99.8%。结合15个县直部门，通过“河北政务服务”平台对全县204项审批事项进行了星级核定调整。</w:t>
      </w:r>
    </w:p>
    <w:p>
      <w:pPr>
        <w:pStyle w:val="24"/>
      </w:pPr>
      <w:r>
        <w:t>3.加强宣传培训：按照省、市村级页面标准化要求，我局指导20个乡镇和街道办门户管理员规范录入门户和事项信息，完成乡镇、社区页面标准化建设工作，同时为各乡镇开通了“河北省政务服务平台”系统页面，梳理确定了第一批乡镇政务服务事项15项，均已在政务服务网上配备了流程和岗位权限。召开20个乡镇和街道办参加的村级服务站建设工作推进会及专题培训会议，对照《河北省“互联网+政务服务”2021年工作要点》，确定我县村级不出村办理事项四项。根据工作需要和机构、人员变动，重新调整玉田县社会信用体系建设领导小组成员单位和组成人员，明确责任部门和任务分工，完善了社会信用体系建设管理构架。召开由全县30多个成员单位参加的社会信用体系建设培训会议和工作推进会议。</w:t>
      </w:r>
    </w:p>
    <w:p>
      <w:pPr>
        <w:pStyle w:val="24"/>
        <w:sectPr>
          <w:pgSz w:w="16840" w:h="11900" w:orient="landscape"/>
          <w:pgMar w:top="1361" w:right="1020" w:bottom="1361" w:left="1020" w:header="720" w:footer="720" w:gutter="0"/>
        </w:sectPr>
      </w:pPr>
      <w:r>
        <w:t>4.做好绩效测评加强内部监督：要求全县各信源单位对五年内产生的所有行政许可、行政处罚信用存量数据进行梳理。为30个单位在系统上建立用户并为每个用户配置管理员权限，县级部门可实现信息发布、查询等操作。印发了《关于抓紧上报社会信用体系存量数据和工作月报的通知》，我局技术骨干分别深入到市场监督管理局、人事劳动和社会保障局、民政局等单位组织召开数据征集培训会议，对报送字段和报送的方式方法进行讲解，保证信息数据准确归集。</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1、劳务派遣人员经费玉田县行政审批局绩效目标表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13022925P004R2810677D</w:t>
            </w:r>
          </w:p>
        </w:tc>
        <w:tc>
          <w:tcPr>
            <w:tcW w:w="2835" w:type="dxa"/>
            <w:vAlign w:val="center"/>
          </w:tcPr>
          <w:p>
            <w:pPr>
              <w:pStyle w:val="11"/>
            </w:pPr>
            <w:r>
              <w:t>项目名称</w:t>
            </w:r>
          </w:p>
        </w:tc>
        <w:tc>
          <w:tcPr>
            <w:tcW w:w="6095" w:type="dxa"/>
            <w:gridSpan w:val="3"/>
            <w:vAlign w:val="center"/>
          </w:tcPr>
          <w:p>
            <w:pPr>
              <w:pStyle w:val="13"/>
            </w:pPr>
            <w:r>
              <w:t>劳务派遣人员经费玉田县行政审批局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413232.64</w:t>
            </w:r>
          </w:p>
        </w:tc>
        <w:tc>
          <w:tcPr>
            <w:tcW w:w="2835" w:type="dxa"/>
            <w:vAlign w:val="center"/>
          </w:tcPr>
          <w:p>
            <w:pPr>
              <w:pStyle w:val="11"/>
            </w:pPr>
            <w:r>
              <w:t>其中：财政    资金</w:t>
            </w:r>
          </w:p>
        </w:tc>
        <w:tc>
          <w:tcPr>
            <w:tcW w:w="2551" w:type="dxa"/>
            <w:vAlign w:val="center"/>
          </w:tcPr>
          <w:p>
            <w:pPr>
              <w:pStyle w:val="13"/>
            </w:pPr>
            <w:r>
              <w:t>413232.64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3"/>
            </w:pPr>
            <w:r>
              <w:t>支付劳务派遣人员工资，保险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1.完成劳务派遣工作人员日常开支管理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人员数量</w:t>
            </w:r>
          </w:p>
        </w:tc>
        <w:tc>
          <w:tcPr>
            <w:tcW w:w="5386" w:type="dxa"/>
            <w:vAlign w:val="center"/>
          </w:tcPr>
          <w:p>
            <w:pPr>
              <w:pStyle w:val="13"/>
            </w:pPr>
            <w:r>
              <w:t>人员数量</w:t>
            </w:r>
          </w:p>
        </w:tc>
        <w:tc>
          <w:tcPr>
            <w:tcW w:w="2268" w:type="dxa"/>
            <w:vAlign w:val="center"/>
          </w:tcPr>
          <w:p>
            <w:pPr>
              <w:pStyle w:val="13"/>
            </w:pPr>
            <w:r>
              <w:t>招聘8名劳务派遣人员全部到岗</w:t>
            </w:r>
          </w:p>
        </w:tc>
        <w:tc>
          <w:tcPr>
            <w:tcW w:w="1276" w:type="dxa"/>
            <w:vAlign w:val="center"/>
          </w:tcPr>
          <w:p>
            <w:pPr>
              <w:pStyle w:val="13"/>
            </w:pPr>
            <w:r>
              <w:t>全员到岗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质量指标</w:t>
            </w:r>
          </w:p>
        </w:tc>
        <w:tc>
          <w:tcPr>
            <w:tcW w:w="2835" w:type="dxa"/>
            <w:vAlign w:val="center"/>
          </w:tcPr>
          <w:p>
            <w:pPr>
              <w:pStyle w:val="13"/>
            </w:pPr>
            <w:r>
              <w:t>通过培训提升人员业务素质</w:t>
            </w:r>
          </w:p>
        </w:tc>
        <w:tc>
          <w:tcPr>
            <w:tcW w:w="5386" w:type="dxa"/>
            <w:vAlign w:val="center"/>
          </w:tcPr>
          <w:p>
            <w:pPr>
              <w:pStyle w:val="13"/>
            </w:pPr>
            <w:r>
              <w:t>人员素质水平达到工作要求</w:t>
            </w:r>
          </w:p>
        </w:tc>
        <w:tc>
          <w:tcPr>
            <w:tcW w:w="2268" w:type="dxa"/>
            <w:vAlign w:val="center"/>
          </w:tcPr>
          <w:p>
            <w:pPr>
              <w:pStyle w:val="13"/>
            </w:pPr>
            <w:r>
              <w:t>100通过业务培训是工作人员业务水平达到工作要求</w:t>
            </w:r>
          </w:p>
        </w:tc>
        <w:tc>
          <w:tcPr>
            <w:tcW w:w="1276" w:type="dxa"/>
            <w:vAlign w:val="center"/>
          </w:tcPr>
          <w:p>
            <w:pPr>
              <w:pStyle w:val="13"/>
            </w:pPr>
            <w:r>
              <w:t>全员业务水平达到工作需求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时效指标</w:t>
            </w:r>
          </w:p>
        </w:tc>
        <w:tc>
          <w:tcPr>
            <w:tcW w:w="2835" w:type="dxa"/>
            <w:vAlign w:val="center"/>
          </w:tcPr>
          <w:p>
            <w:pPr>
              <w:pStyle w:val="13"/>
            </w:pPr>
            <w:r>
              <w:t>完成工作时间</w:t>
            </w:r>
          </w:p>
        </w:tc>
        <w:tc>
          <w:tcPr>
            <w:tcW w:w="5386" w:type="dxa"/>
            <w:vAlign w:val="center"/>
          </w:tcPr>
          <w:p>
            <w:pPr>
              <w:pStyle w:val="13"/>
            </w:pPr>
            <w:r>
              <w:t>完成工作时间</w:t>
            </w:r>
          </w:p>
        </w:tc>
        <w:tc>
          <w:tcPr>
            <w:tcW w:w="2268" w:type="dxa"/>
            <w:vAlign w:val="center"/>
          </w:tcPr>
          <w:p>
            <w:pPr>
              <w:pStyle w:val="13"/>
            </w:pPr>
            <w:r>
              <w:t>100规定时间完成工作</w:t>
            </w:r>
          </w:p>
        </w:tc>
        <w:tc>
          <w:tcPr>
            <w:tcW w:w="1276" w:type="dxa"/>
            <w:vAlign w:val="center"/>
          </w:tcPr>
          <w:p>
            <w:pPr>
              <w:pStyle w:val="13"/>
            </w:pPr>
            <w:r>
              <w:t>按规定时间完成工作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成本指标</w:t>
            </w:r>
          </w:p>
        </w:tc>
        <w:tc>
          <w:tcPr>
            <w:tcW w:w="2835" w:type="dxa"/>
            <w:vAlign w:val="center"/>
          </w:tcPr>
          <w:p>
            <w:pPr>
              <w:pStyle w:val="13"/>
            </w:pPr>
            <w:r>
              <w:t>办公费成本</w:t>
            </w:r>
          </w:p>
        </w:tc>
        <w:tc>
          <w:tcPr>
            <w:tcW w:w="5386" w:type="dxa"/>
            <w:vAlign w:val="center"/>
          </w:tcPr>
          <w:p>
            <w:pPr>
              <w:pStyle w:val="13"/>
            </w:pPr>
            <w:r>
              <w:t>办公费成本</w:t>
            </w:r>
          </w:p>
        </w:tc>
        <w:tc>
          <w:tcPr>
            <w:tcW w:w="2268" w:type="dxa"/>
            <w:vAlign w:val="center"/>
          </w:tcPr>
          <w:p>
            <w:pPr>
              <w:pStyle w:val="13"/>
            </w:pPr>
            <w:r>
              <w:t>≤90办公成本不高于90%</w:t>
            </w:r>
          </w:p>
        </w:tc>
        <w:tc>
          <w:tcPr>
            <w:tcW w:w="1276" w:type="dxa"/>
            <w:vAlign w:val="center"/>
          </w:tcPr>
          <w:p>
            <w:pPr>
              <w:pStyle w:val="13"/>
            </w:pPr>
            <w:r>
              <w:t>办公成本不高于90%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岗位配置率</w:t>
            </w:r>
          </w:p>
        </w:tc>
        <w:tc>
          <w:tcPr>
            <w:tcW w:w="5386" w:type="dxa"/>
            <w:vAlign w:val="center"/>
          </w:tcPr>
          <w:p>
            <w:pPr>
              <w:pStyle w:val="13"/>
            </w:pPr>
            <w:r>
              <w:t>岗位配置率</w:t>
            </w:r>
          </w:p>
        </w:tc>
        <w:tc>
          <w:tcPr>
            <w:tcW w:w="2268" w:type="dxa"/>
            <w:vAlign w:val="center"/>
          </w:tcPr>
          <w:p>
            <w:pPr>
              <w:pStyle w:val="13"/>
            </w:pPr>
            <w:r>
              <w:t>100岗位配置100%完成</w:t>
            </w:r>
          </w:p>
        </w:tc>
        <w:tc>
          <w:tcPr>
            <w:tcW w:w="1276" w:type="dxa"/>
            <w:vAlign w:val="center"/>
          </w:tcPr>
          <w:p>
            <w:pPr>
              <w:pStyle w:val="13"/>
            </w:pPr>
            <w:r>
              <w:t>岗位配置100%完成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社会效益指标</w:t>
            </w:r>
          </w:p>
        </w:tc>
        <w:tc>
          <w:tcPr>
            <w:tcW w:w="2835" w:type="dxa"/>
            <w:vAlign w:val="center"/>
          </w:tcPr>
          <w:p>
            <w:pPr>
              <w:pStyle w:val="13"/>
            </w:pPr>
            <w:r>
              <w:t>保障能力提升情况</w:t>
            </w:r>
          </w:p>
        </w:tc>
        <w:tc>
          <w:tcPr>
            <w:tcW w:w="5386" w:type="dxa"/>
            <w:vAlign w:val="center"/>
          </w:tcPr>
          <w:p>
            <w:pPr>
              <w:pStyle w:val="13"/>
            </w:pPr>
            <w:r>
              <w:t>保障能力提升情况</w:t>
            </w:r>
          </w:p>
        </w:tc>
        <w:tc>
          <w:tcPr>
            <w:tcW w:w="2268" w:type="dxa"/>
            <w:vAlign w:val="center"/>
          </w:tcPr>
          <w:p>
            <w:pPr>
              <w:pStyle w:val="13"/>
            </w:pPr>
            <w:r>
              <w:t>100工作保障能力提升</w:t>
            </w:r>
          </w:p>
        </w:tc>
        <w:tc>
          <w:tcPr>
            <w:tcW w:w="1276" w:type="dxa"/>
            <w:vAlign w:val="center"/>
          </w:tcPr>
          <w:p>
            <w:pPr>
              <w:pStyle w:val="13"/>
            </w:pPr>
            <w:r>
              <w:t>工作保障能力提升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生态效益指标</w:t>
            </w:r>
          </w:p>
        </w:tc>
        <w:tc>
          <w:tcPr>
            <w:tcW w:w="2835" w:type="dxa"/>
            <w:vAlign w:val="center"/>
          </w:tcPr>
          <w:p>
            <w:pPr>
              <w:pStyle w:val="13"/>
            </w:pPr>
            <w:r>
              <w:t>监测数据合格率</w:t>
            </w:r>
          </w:p>
        </w:tc>
        <w:tc>
          <w:tcPr>
            <w:tcW w:w="5386" w:type="dxa"/>
            <w:vAlign w:val="center"/>
          </w:tcPr>
          <w:p>
            <w:pPr>
              <w:pStyle w:val="13"/>
            </w:pPr>
            <w:r>
              <w:t>监测数据合格率</w:t>
            </w:r>
          </w:p>
        </w:tc>
        <w:tc>
          <w:tcPr>
            <w:tcW w:w="2268" w:type="dxa"/>
            <w:vAlign w:val="center"/>
          </w:tcPr>
          <w:p>
            <w:pPr>
              <w:pStyle w:val="13"/>
            </w:pPr>
            <w:r>
              <w:t>100人员考核合格100%</w:t>
            </w:r>
          </w:p>
        </w:tc>
        <w:tc>
          <w:tcPr>
            <w:tcW w:w="1276" w:type="dxa"/>
            <w:vAlign w:val="center"/>
          </w:tcPr>
          <w:p>
            <w:pPr>
              <w:pStyle w:val="13"/>
            </w:pPr>
            <w:r>
              <w:t>人员考核合格100%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可持续影响指标</w:t>
            </w:r>
          </w:p>
        </w:tc>
        <w:tc>
          <w:tcPr>
            <w:tcW w:w="2835" w:type="dxa"/>
            <w:vAlign w:val="center"/>
          </w:tcPr>
          <w:p>
            <w:pPr>
              <w:pStyle w:val="13"/>
            </w:pPr>
            <w:r>
              <w:t>保障机关和企业联合会正常办公</w:t>
            </w:r>
          </w:p>
        </w:tc>
        <w:tc>
          <w:tcPr>
            <w:tcW w:w="5386" w:type="dxa"/>
            <w:vAlign w:val="center"/>
          </w:tcPr>
          <w:p>
            <w:pPr>
              <w:pStyle w:val="13"/>
            </w:pPr>
            <w:r>
              <w:t>保障机关和企业联合会正常办公</w:t>
            </w:r>
          </w:p>
        </w:tc>
        <w:tc>
          <w:tcPr>
            <w:tcW w:w="2268" w:type="dxa"/>
            <w:vAlign w:val="center"/>
          </w:tcPr>
          <w:p>
            <w:pPr>
              <w:pStyle w:val="13"/>
            </w:pPr>
            <w:r>
              <w:t>100审批事项完备</w:t>
            </w:r>
          </w:p>
        </w:tc>
        <w:tc>
          <w:tcPr>
            <w:tcW w:w="1276" w:type="dxa"/>
            <w:vAlign w:val="center"/>
          </w:tcPr>
          <w:p>
            <w:pPr>
              <w:pStyle w:val="13"/>
            </w:pPr>
            <w:r>
              <w:t>审批事项完备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反馈满意和较满意的数量占的比率</w:t>
            </w:r>
          </w:p>
        </w:tc>
        <w:tc>
          <w:tcPr>
            <w:tcW w:w="5386" w:type="dxa"/>
            <w:vAlign w:val="center"/>
          </w:tcPr>
          <w:p>
            <w:pPr>
              <w:pStyle w:val="13"/>
            </w:pPr>
            <w:r>
              <w:t>反馈满意和较满意的数量占的比率</w:t>
            </w:r>
          </w:p>
        </w:tc>
        <w:tc>
          <w:tcPr>
            <w:tcW w:w="2268" w:type="dxa"/>
            <w:vAlign w:val="center"/>
          </w:tcPr>
          <w:p>
            <w:pPr>
              <w:pStyle w:val="13"/>
            </w:pPr>
            <w:r>
              <w:t>≥95群众满意度不低于95%</w:t>
            </w:r>
          </w:p>
        </w:tc>
        <w:tc>
          <w:tcPr>
            <w:tcW w:w="1276" w:type="dxa"/>
            <w:vAlign w:val="center"/>
          </w:tcPr>
          <w:p>
            <w:pPr>
              <w:pStyle w:val="13"/>
            </w:pPr>
            <w:r>
              <w:t>群众满意度不低于95%</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13022925P00JXC419734W</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66000.00</w:t>
            </w:r>
          </w:p>
        </w:tc>
        <w:tc>
          <w:tcPr>
            <w:tcW w:w="2835" w:type="dxa"/>
            <w:vAlign w:val="center"/>
          </w:tcPr>
          <w:p>
            <w:pPr>
              <w:pStyle w:val="11"/>
            </w:pPr>
            <w:r>
              <w:t>其中：财政    资金</w:t>
            </w:r>
          </w:p>
        </w:tc>
        <w:tc>
          <w:tcPr>
            <w:tcW w:w="2551" w:type="dxa"/>
            <w:vAlign w:val="center"/>
          </w:tcPr>
          <w:p>
            <w:pPr>
              <w:pStyle w:val="13"/>
            </w:pPr>
            <w:r>
              <w:t>66000.00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3"/>
            </w:pPr>
            <w:r>
              <w:t>按时申报缴纳残疾人保障金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1.按时申报缴纳残疾人保障金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计提人数</w:t>
            </w:r>
          </w:p>
        </w:tc>
        <w:tc>
          <w:tcPr>
            <w:tcW w:w="5386" w:type="dxa"/>
            <w:vAlign w:val="center"/>
          </w:tcPr>
          <w:p>
            <w:pPr>
              <w:pStyle w:val="13"/>
            </w:pPr>
            <w:r>
              <w:t>残疾人保障金按照人数计提</w:t>
            </w:r>
          </w:p>
        </w:tc>
        <w:tc>
          <w:tcPr>
            <w:tcW w:w="2268" w:type="dxa"/>
            <w:vAlign w:val="center"/>
          </w:tcPr>
          <w:p>
            <w:pPr>
              <w:pStyle w:val="13"/>
            </w:pPr>
            <w:r>
              <w:t>100百分比计提</w:t>
            </w:r>
          </w:p>
        </w:tc>
        <w:tc>
          <w:tcPr>
            <w:tcW w:w="1276" w:type="dxa"/>
            <w:vAlign w:val="center"/>
          </w:tcPr>
          <w:p>
            <w:pPr>
              <w:pStyle w:val="13"/>
            </w:pPr>
            <w:r>
              <w:t>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质量指标</w:t>
            </w:r>
          </w:p>
        </w:tc>
        <w:tc>
          <w:tcPr>
            <w:tcW w:w="2835" w:type="dxa"/>
            <w:vAlign w:val="center"/>
          </w:tcPr>
          <w:p>
            <w:pPr>
              <w:pStyle w:val="13"/>
            </w:pPr>
            <w:r>
              <w:t>计提依据准确</w:t>
            </w:r>
          </w:p>
        </w:tc>
        <w:tc>
          <w:tcPr>
            <w:tcW w:w="5386" w:type="dxa"/>
            <w:vAlign w:val="center"/>
          </w:tcPr>
          <w:p>
            <w:pPr>
              <w:pStyle w:val="13"/>
            </w:pPr>
            <w:r>
              <w:t>计提依据准确</w:t>
            </w:r>
          </w:p>
        </w:tc>
        <w:tc>
          <w:tcPr>
            <w:tcW w:w="2268" w:type="dxa"/>
            <w:vAlign w:val="center"/>
          </w:tcPr>
          <w:p>
            <w:pPr>
              <w:pStyle w:val="13"/>
            </w:pPr>
            <w:r>
              <w:t>100准确计提</w:t>
            </w:r>
          </w:p>
        </w:tc>
        <w:tc>
          <w:tcPr>
            <w:tcW w:w="1276" w:type="dxa"/>
            <w:vAlign w:val="center"/>
          </w:tcPr>
          <w:p>
            <w:pPr>
              <w:pStyle w:val="13"/>
            </w:pPr>
            <w:r>
              <w:t>准确计提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时效指标</w:t>
            </w:r>
          </w:p>
        </w:tc>
        <w:tc>
          <w:tcPr>
            <w:tcW w:w="2835" w:type="dxa"/>
            <w:vAlign w:val="center"/>
          </w:tcPr>
          <w:p>
            <w:pPr>
              <w:pStyle w:val="13"/>
            </w:pPr>
            <w:r>
              <w:t>按时完成申报缴纳</w:t>
            </w:r>
          </w:p>
        </w:tc>
        <w:tc>
          <w:tcPr>
            <w:tcW w:w="5386" w:type="dxa"/>
            <w:vAlign w:val="center"/>
          </w:tcPr>
          <w:p>
            <w:pPr>
              <w:pStyle w:val="13"/>
            </w:pPr>
            <w:r>
              <w:t>按时完成申报缴纳</w:t>
            </w:r>
          </w:p>
        </w:tc>
        <w:tc>
          <w:tcPr>
            <w:tcW w:w="2268" w:type="dxa"/>
            <w:vAlign w:val="center"/>
          </w:tcPr>
          <w:p>
            <w:pPr>
              <w:pStyle w:val="13"/>
            </w:pPr>
            <w:r>
              <w:t>100完成申报缴纳</w:t>
            </w:r>
          </w:p>
        </w:tc>
        <w:tc>
          <w:tcPr>
            <w:tcW w:w="1276" w:type="dxa"/>
            <w:vAlign w:val="center"/>
          </w:tcPr>
          <w:p>
            <w:pPr>
              <w:pStyle w:val="13"/>
            </w:pPr>
            <w:r>
              <w:t>按时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成本指标</w:t>
            </w:r>
          </w:p>
        </w:tc>
        <w:tc>
          <w:tcPr>
            <w:tcW w:w="2835" w:type="dxa"/>
            <w:vAlign w:val="center"/>
          </w:tcPr>
          <w:p>
            <w:pPr>
              <w:pStyle w:val="13"/>
            </w:pPr>
            <w:r>
              <w:t>申请经费准确及时</w:t>
            </w:r>
          </w:p>
        </w:tc>
        <w:tc>
          <w:tcPr>
            <w:tcW w:w="5386" w:type="dxa"/>
            <w:vAlign w:val="center"/>
          </w:tcPr>
          <w:p>
            <w:pPr>
              <w:pStyle w:val="13"/>
            </w:pPr>
            <w:r>
              <w:t>申请经费准确及时</w:t>
            </w:r>
          </w:p>
        </w:tc>
        <w:tc>
          <w:tcPr>
            <w:tcW w:w="2268" w:type="dxa"/>
            <w:vAlign w:val="center"/>
          </w:tcPr>
          <w:p>
            <w:pPr>
              <w:pStyle w:val="13"/>
            </w:pPr>
            <w:r>
              <w:t>100完成财政资金预算申请</w:t>
            </w:r>
          </w:p>
        </w:tc>
        <w:tc>
          <w:tcPr>
            <w:tcW w:w="1276" w:type="dxa"/>
            <w:vAlign w:val="center"/>
          </w:tcPr>
          <w:p>
            <w:pPr>
              <w:pStyle w:val="13"/>
            </w:pPr>
            <w:r>
              <w:t>完成财政资金预算申请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促进残疾人事业持续开展</w:t>
            </w:r>
          </w:p>
        </w:tc>
        <w:tc>
          <w:tcPr>
            <w:tcW w:w="5386" w:type="dxa"/>
            <w:vAlign w:val="center"/>
          </w:tcPr>
          <w:p>
            <w:pPr>
              <w:pStyle w:val="13"/>
            </w:pPr>
            <w:r>
              <w:t>助推残疾人事业有序开展</w:t>
            </w:r>
          </w:p>
        </w:tc>
        <w:tc>
          <w:tcPr>
            <w:tcW w:w="2268" w:type="dxa"/>
            <w:vAlign w:val="center"/>
          </w:tcPr>
          <w:p>
            <w:pPr>
              <w:pStyle w:val="13"/>
            </w:pPr>
            <w:r>
              <w:t>100持续推进</w:t>
            </w:r>
          </w:p>
        </w:tc>
        <w:tc>
          <w:tcPr>
            <w:tcW w:w="1276" w:type="dxa"/>
            <w:vAlign w:val="center"/>
          </w:tcPr>
          <w:p>
            <w:pPr>
              <w:pStyle w:val="13"/>
            </w:pPr>
            <w:r>
              <w:t>持续推进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社会效益指标</w:t>
            </w:r>
          </w:p>
        </w:tc>
        <w:tc>
          <w:tcPr>
            <w:tcW w:w="2835" w:type="dxa"/>
            <w:vAlign w:val="center"/>
          </w:tcPr>
          <w:p>
            <w:pPr>
              <w:pStyle w:val="13"/>
            </w:pPr>
            <w:r>
              <w:t>残疾人就业人数</w:t>
            </w:r>
          </w:p>
        </w:tc>
        <w:tc>
          <w:tcPr>
            <w:tcW w:w="5386" w:type="dxa"/>
            <w:vAlign w:val="center"/>
          </w:tcPr>
          <w:p>
            <w:pPr>
              <w:pStyle w:val="13"/>
            </w:pPr>
            <w:r>
              <w:t>残疾人就业人数</w:t>
            </w:r>
          </w:p>
        </w:tc>
        <w:tc>
          <w:tcPr>
            <w:tcW w:w="2268" w:type="dxa"/>
            <w:vAlign w:val="center"/>
          </w:tcPr>
          <w:p>
            <w:pPr>
              <w:pStyle w:val="13"/>
            </w:pPr>
            <w:r>
              <w:t>100持续上涨</w:t>
            </w:r>
          </w:p>
        </w:tc>
        <w:tc>
          <w:tcPr>
            <w:tcW w:w="1276" w:type="dxa"/>
            <w:vAlign w:val="center"/>
          </w:tcPr>
          <w:p>
            <w:pPr>
              <w:pStyle w:val="13"/>
            </w:pPr>
            <w:r>
              <w:t>持续上涨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生态效益指标</w:t>
            </w:r>
          </w:p>
        </w:tc>
        <w:tc>
          <w:tcPr>
            <w:tcW w:w="2835" w:type="dxa"/>
            <w:vAlign w:val="center"/>
          </w:tcPr>
          <w:p>
            <w:pPr>
              <w:pStyle w:val="13"/>
            </w:pPr>
            <w:r>
              <w:t>残障人员经费保障覆盖率</w:t>
            </w:r>
          </w:p>
        </w:tc>
        <w:tc>
          <w:tcPr>
            <w:tcW w:w="5386" w:type="dxa"/>
            <w:vAlign w:val="center"/>
          </w:tcPr>
          <w:p>
            <w:pPr>
              <w:pStyle w:val="13"/>
            </w:pPr>
            <w:r>
              <w:t>残障人员经费保障覆盖率</w:t>
            </w:r>
          </w:p>
        </w:tc>
        <w:tc>
          <w:tcPr>
            <w:tcW w:w="2268" w:type="dxa"/>
            <w:vAlign w:val="center"/>
          </w:tcPr>
          <w:p>
            <w:pPr>
              <w:pStyle w:val="13"/>
            </w:pPr>
            <w:r>
              <w:t>100完成</w:t>
            </w:r>
          </w:p>
        </w:tc>
        <w:tc>
          <w:tcPr>
            <w:tcW w:w="1276" w:type="dxa"/>
            <w:vAlign w:val="center"/>
          </w:tcPr>
          <w:p>
            <w:pPr>
              <w:pStyle w:val="13"/>
            </w:pPr>
            <w:r>
              <w:t>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可持续影响指标</w:t>
            </w:r>
          </w:p>
        </w:tc>
        <w:tc>
          <w:tcPr>
            <w:tcW w:w="2835" w:type="dxa"/>
            <w:vAlign w:val="center"/>
          </w:tcPr>
          <w:p>
            <w:pPr>
              <w:pStyle w:val="13"/>
            </w:pPr>
            <w:r>
              <w:t>保障能力提升情况</w:t>
            </w:r>
          </w:p>
        </w:tc>
        <w:tc>
          <w:tcPr>
            <w:tcW w:w="5386" w:type="dxa"/>
            <w:vAlign w:val="center"/>
          </w:tcPr>
          <w:p>
            <w:pPr>
              <w:pStyle w:val="13"/>
            </w:pPr>
            <w:r>
              <w:t>保障能力提升</w:t>
            </w:r>
          </w:p>
        </w:tc>
        <w:tc>
          <w:tcPr>
            <w:tcW w:w="2268" w:type="dxa"/>
            <w:vAlign w:val="center"/>
          </w:tcPr>
          <w:p>
            <w:pPr>
              <w:pStyle w:val="13"/>
            </w:pPr>
            <w:r>
              <w:t>100持续推进</w:t>
            </w:r>
          </w:p>
        </w:tc>
        <w:tc>
          <w:tcPr>
            <w:tcW w:w="1276" w:type="dxa"/>
            <w:vAlign w:val="center"/>
          </w:tcPr>
          <w:p>
            <w:pPr>
              <w:pStyle w:val="13"/>
            </w:pPr>
            <w:r>
              <w:t>持续推进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满意度指标</w:t>
            </w:r>
          </w:p>
        </w:tc>
        <w:tc>
          <w:tcPr>
            <w:tcW w:w="2268" w:type="dxa"/>
            <w:vAlign w:val="center"/>
          </w:tcPr>
          <w:p>
            <w:pPr>
              <w:pStyle w:val="13"/>
            </w:pPr>
            <w:r>
              <w:t>≥95完成</w:t>
            </w:r>
          </w:p>
        </w:tc>
        <w:tc>
          <w:tcPr>
            <w:tcW w:w="1276" w:type="dxa"/>
            <w:vAlign w:val="center"/>
          </w:tcPr>
          <w:p>
            <w:pPr>
              <w:pStyle w:val="13"/>
            </w:pPr>
            <w:r>
              <w:t>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3、审批局公车购置绩效目标表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13022925P00JXC419862J</w:t>
            </w:r>
          </w:p>
        </w:tc>
        <w:tc>
          <w:tcPr>
            <w:tcW w:w="2835" w:type="dxa"/>
            <w:vAlign w:val="center"/>
          </w:tcPr>
          <w:p>
            <w:pPr>
              <w:pStyle w:val="11"/>
            </w:pPr>
            <w:r>
              <w:t>项目名称</w:t>
            </w:r>
          </w:p>
        </w:tc>
        <w:tc>
          <w:tcPr>
            <w:tcW w:w="6095" w:type="dxa"/>
            <w:gridSpan w:val="3"/>
            <w:vAlign w:val="center"/>
          </w:tcPr>
          <w:p>
            <w:pPr>
              <w:pStyle w:val="13"/>
            </w:pPr>
            <w:r>
              <w:t>审批局公车购置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80000.00</w:t>
            </w:r>
          </w:p>
        </w:tc>
        <w:tc>
          <w:tcPr>
            <w:tcW w:w="2835" w:type="dxa"/>
            <w:vAlign w:val="center"/>
          </w:tcPr>
          <w:p>
            <w:pPr>
              <w:pStyle w:val="11"/>
            </w:pPr>
            <w:r>
              <w:t>其中：财政    资金</w:t>
            </w:r>
          </w:p>
        </w:tc>
        <w:tc>
          <w:tcPr>
            <w:tcW w:w="2551" w:type="dxa"/>
            <w:vAlign w:val="center"/>
          </w:tcPr>
          <w:p>
            <w:pPr>
              <w:pStyle w:val="13"/>
            </w:pPr>
            <w:r>
              <w:t>80000.00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3"/>
            </w:pPr>
            <w:r>
              <w:t>公务用车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1.公车预算经费到位，采购完成，保障机关正常工作开展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购置新能源汽车一辆</w:t>
            </w:r>
          </w:p>
        </w:tc>
        <w:tc>
          <w:tcPr>
            <w:tcW w:w="5386" w:type="dxa"/>
            <w:vAlign w:val="center"/>
          </w:tcPr>
          <w:p>
            <w:pPr>
              <w:pStyle w:val="13"/>
            </w:pPr>
            <w:r>
              <w:t>购置新能源汽车一辆</w:t>
            </w:r>
          </w:p>
        </w:tc>
        <w:tc>
          <w:tcPr>
            <w:tcW w:w="2268" w:type="dxa"/>
            <w:vAlign w:val="center"/>
          </w:tcPr>
          <w:p>
            <w:pPr>
              <w:pStyle w:val="13"/>
            </w:pPr>
            <w:r>
              <w:t>1购置公车1辆</w:t>
            </w:r>
          </w:p>
        </w:tc>
        <w:tc>
          <w:tcPr>
            <w:tcW w:w="1276" w:type="dxa"/>
            <w:vAlign w:val="center"/>
          </w:tcPr>
          <w:p>
            <w:pPr>
              <w:pStyle w:val="13"/>
            </w:pPr>
            <w:r>
              <w:t>签订购车合同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质量指标</w:t>
            </w:r>
          </w:p>
        </w:tc>
        <w:tc>
          <w:tcPr>
            <w:tcW w:w="2835" w:type="dxa"/>
            <w:vAlign w:val="center"/>
          </w:tcPr>
          <w:p>
            <w:pPr>
              <w:pStyle w:val="13"/>
            </w:pPr>
            <w:r>
              <w:t>购置验收通过率</w:t>
            </w:r>
          </w:p>
        </w:tc>
        <w:tc>
          <w:tcPr>
            <w:tcW w:w="5386" w:type="dxa"/>
            <w:vAlign w:val="center"/>
          </w:tcPr>
          <w:p>
            <w:pPr>
              <w:pStyle w:val="13"/>
            </w:pPr>
            <w:r>
              <w:t>购置验收通过率</w:t>
            </w:r>
          </w:p>
        </w:tc>
        <w:tc>
          <w:tcPr>
            <w:tcW w:w="2268" w:type="dxa"/>
            <w:vAlign w:val="center"/>
          </w:tcPr>
          <w:p>
            <w:pPr>
              <w:pStyle w:val="13"/>
            </w:pPr>
            <w:r>
              <w:t>≥100公车质量合格</w:t>
            </w:r>
          </w:p>
        </w:tc>
        <w:tc>
          <w:tcPr>
            <w:tcW w:w="1276" w:type="dxa"/>
            <w:vAlign w:val="center"/>
          </w:tcPr>
          <w:p>
            <w:pPr>
              <w:pStyle w:val="13"/>
            </w:pPr>
            <w:r>
              <w:t>公车质量合格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≥100按时采购</w:t>
            </w:r>
          </w:p>
        </w:tc>
        <w:tc>
          <w:tcPr>
            <w:tcW w:w="1276" w:type="dxa"/>
            <w:vAlign w:val="center"/>
          </w:tcPr>
          <w:p>
            <w:pPr>
              <w:pStyle w:val="13"/>
            </w:pPr>
            <w:r>
              <w:t>按时采购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成本指标</w:t>
            </w:r>
          </w:p>
        </w:tc>
        <w:tc>
          <w:tcPr>
            <w:tcW w:w="2835" w:type="dxa"/>
            <w:vAlign w:val="center"/>
          </w:tcPr>
          <w:p>
            <w:pPr>
              <w:pStyle w:val="13"/>
            </w:pPr>
            <w:r>
              <w:t>不超预算批复金额</w:t>
            </w:r>
          </w:p>
        </w:tc>
        <w:tc>
          <w:tcPr>
            <w:tcW w:w="5386" w:type="dxa"/>
            <w:vAlign w:val="center"/>
          </w:tcPr>
          <w:p>
            <w:pPr>
              <w:pStyle w:val="13"/>
            </w:pPr>
            <w:r>
              <w:t>不超预算批复金额</w:t>
            </w:r>
          </w:p>
        </w:tc>
        <w:tc>
          <w:tcPr>
            <w:tcW w:w="2268" w:type="dxa"/>
            <w:vAlign w:val="center"/>
          </w:tcPr>
          <w:p>
            <w:pPr>
              <w:pStyle w:val="13"/>
            </w:pPr>
            <w:r>
              <w:t>≤100结算尾款</w:t>
            </w:r>
          </w:p>
        </w:tc>
        <w:tc>
          <w:tcPr>
            <w:tcW w:w="1276" w:type="dxa"/>
            <w:vAlign w:val="center"/>
          </w:tcPr>
          <w:p>
            <w:pPr>
              <w:pStyle w:val="13"/>
            </w:pPr>
            <w:r>
              <w:t>结算未交款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业务保障能力提升</w:t>
            </w:r>
          </w:p>
        </w:tc>
        <w:tc>
          <w:tcPr>
            <w:tcW w:w="5386" w:type="dxa"/>
            <w:vAlign w:val="center"/>
          </w:tcPr>
          <w:p>
            <w:pPr>
              <w:pStyle w:val="13"/>
            </w:pPr>
            <w:r>
              <w:t>业务保障能力提升</w:t>
            </w:r>
          </w:p>
        </w:tc>
        <w:tc>
          <w:tcPr>
            <w:tcW w:w="2268" w:type="dxa"/>
            <w:vAlign w:val="center"/>
          </w:tcPr>
          <w:p>
            <w:pPr>
              <w:pStyle w:val="13"/>
            </w:pPr>
            <w:r>
              <w:t>≥100提升保障能力</w:t>
            </w:r>
          </w:p>
        </w:tc>
        <w:tc>
          <w:tcPr>
            <w:tcW w:w="1276" w:type="dxa"/>
            <w:vAlign w:val="center"/>
          </w:tcPr>
          <w:p>
            <w:pPr>
              <w:pStyle w:val="13"/>
            </w:pPr>
            <w:r>
              <w:t>完成公出任务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社会效益指标</w:t>
            </w:r>
          </w:p>
        </w:tc>
        <w:tc>
          <w:tcPr>
            <w:tcW w:w="2835" w:type="dxa"/>
            <w:vAlign w:val="center"/>
          </w:tcPr>
          <w:p>
            <w:pPr>
              <w:pStyle w:val="13"/>
            </w:pPr>
            <w:r>
              <w:t>重大活动通讯保障任务完成</w:t>
            </w:r>
          </w:p>
        </w:tc>
        <w:tc>
          <w:tcPr>
            <w:tcW w:w="5386" w:type="dxa"/>
            <w:vAlign w:val="center"/>
          </w:tcPr>
          <w:p>
            <w:pPr>
              <w:pStyle w:val="13"/>
            </w:pPr>
            <w:r>
              <w:t>重大活动通讯保障任务完成</w:t>
            </w:r>
          </w:p>
        </w:tc>
        <w:tc>
          <w:tcPr>
            <w:tcW w:w="2268" w:type="dxa"/>
            <w:vAlign w:val="center"/>
          </w:tcPr>
          <w:p>
            <w:pPr>
              <w:pStyle w:val="13"/>
            </w:pPr>
            <w:r>
              <w:t>≥100保障到位</w:t>
            </w:r>
          </w:p>
        </w:tc>
        <w:tc>
          <w:tcPr>
            <w:tcW w:w="1276" w:type="dxa"/>
            <w:vAlign w:val="center"/>
          </w:tcPr>
          <w:p>
            <w:pPr>
              <w:pStyle w:val="13"/>
            </w:pPr>
            <w:r>
              <w:t>保障到位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生态效益指标</w:t>
            </w:r>
          </w:p>
        </w:tc>
        <w:tc>
          <w:tcPr>
            <w:tcW w:w="2835" w:type="dxa"/>
            <w:vAlign w:val="center"/>
          </w:tcPr>
          <w:p>
            <w:pPr>
              <w:pStyle w:val="13"/>
            </w:pPr>
            <w:r>
              <w:t>环保节能</w:t>
            </w:r>
          </w:p>
        </w:tc>
        <w:tc>
          <w:tcPr>
            <w:tcW w:w="5386" w:type="dxa"/>
            <w:vAlign w:val="center"/>
          </w:tcPr>
          <w:p>
            <w:pPr>
              <w:pStyle w:val="13"/>
            </w:pPr>
            <w:r>
              <w:t>环保节能</w:t>
            </w:r>
          </w:p>
        </w:tc>
        <w:tc>
          <w:tcPr>
            <w:tcW w:w="2268" w:type="dxa"/>
            <w:vAlign w:val="center"/>
          </w:tcPr>
          <w:p>
            <w:pPr>
              <w:pStyle w:val="13"/>
            </w:pPr>
            <w:r>
              <w:t>≥100纯电动</w:t>
            </w:r>
          </w:p>
        </w:tc>
        <w:tc>
          <w:tcPr>
            <w:tcW w:w="1276" w:type="dxa"/>
            <w:vAlign w:val="center"/>
          </w:tcPr>
          <w:p>
            <w:pPr>
              <w:pStyle w:val="13"/>
            </w:pPr>
            <w:r>
              <w:t>无污染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可持续影响指标</w:t>
            </w:r>
          </w:p>
        </w:tc>
        <w:tc>
          <w:tcPr>
            <w:tcW w:w="2835" w:type="dxa"/>
            <w:vAlign w:val="center"/>
          </w:tcPr>
          <w:p>
            <w:pPr>
              <w:pStyle w:val="13"/>
            </w:pPr>
            <w:r>
              <w:t>保障机关企业联合正常办公</w:t>
            </w:r>
          </w:p>
        </w:tc>
        <w:tc>
          <w:tcPr>
            <w:tcW w:w="5386" w:type="dxa"/>
            <w:vAlign w:val="center"/>
          </w:tcPr>
          <w:p>
            <w:pPr>
              <w:pStyle w:val="13"/>
            </w:pPr>
            <w:r>
              <w:t>保障机关和企业联合办公</w:t>
            </w:r>
          </w:p>
        </w:tc>
        <w:tc>
          <w:tcPr>
            <w:tcW w:w="2268" w:type="dxa"/>
            <w:vAlign w:val="center"/>
          </w:tcPr>
          <w:p>
            <w:pPr>
              <w:pStyle w:val="13"/>
            </w:pPr>
            <w:r>
              <w:t>≥100持续提升办公保障能力</w:t>
            </w:r>
          </w:p>
        </w:tc>
        <w:tc>
          <w:tcPr>
            <w:tcW w:w="1276" w:type="dxa"/>
            <w:vAlign w:val="center"/>
          </w:tcPr>
          <w:p>
            <w:pPr>
              <w:pStyle w:val="13"/>
            </w:pPr>
            <w:r>
              <w:t>保障能力提升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相关单位人员满意度</w:t>
            </w:r>
          </w:p>
        </w:tc>
        <w:tc>
          <w:tcPr>
            <w:tcW w:w="5386" w:type="dxa"/>
            <w:vAlign w:val="center"/>
          </w:tcPr>
          <w:p>
            <w:pPr>
              <w:pStyle w:val="13"/>
            </w:pPr>
            <w:r>
              <w:t>相关单位人员满意度</w:t>
            </w:r>
          </w:p>
        </w:tc>
        <w:tc>
          <w:tcPr>
            <w:tcW w:w="2268" w:type="dxa"/>
            <w:vAlign w:val="center"/>
          </w:tcPr>
          <w:p>
            <w:pPr>
              <w:pStyle w:val="13"/>
            </w:pPr>
            <w:r>
              <w:t>≥100出行顺畅</w:t>
            </w:r>
          </w:p>
        </w:tc>
        <w:tc>
          <w:tcPr>
            <w:tcW w:w="1276" w:type="dxa"/>
            <w:vAlign w:val="center"/>
          </w:tcPr>
          <w:p>
            <w:pPr>
              <w:pStyle w:val="13"/>
            </w:pPr>
            <w:r>
              <w:t>工作人员满意度大于等于100%</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4、行政审批业务经费绩效目标表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13022925P00JXC4102479</w:t>
            </w:r>
          </w:p>
        </w:tc>
        <w:tc>
          <w:tcPr>
            <w:tcW w:w="2835" w:type="dxa"/>
            <w:vAlign w:val="center"/>
          </w:tcPr>
          <w:p>
            <w:pPr>
              <w:pStyle w:val="11"/>
            </w:pPr>
            <w:r>
              <w:t>项目名称</w:t>
            </w:r>
          </w:p>
        </w:tc>
        <w:tc>
          <w:tcPr>
            <w:tcW w:w="6095" w:type="dxa"/>
            <w:gridSpan w:val="3"/>
            <w:vAlign w:val="center"/>
          </w:tcPr>
          <w:p>
            <w:pPr>
              <w:pStyle w:val="13"/>
            </w:pPr>
            <w:r>
              <w:t>行政审批业务经费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500000.00</w:t>
            </w:r>
          </w:p>
        </w:tc>
        <w:tc>
          <w:tcPr>
            <w:tcW w:w="2835" w:type="dxa"/>
            <w:vAlign w:val="center"/>
          </w:tcPr>
          <w:p>
            <w:pPr>
              <w:pStyle w:val="11"/>
            </w:pPr>
            <w:r>
              <w:t>其中：财政    资金</w:t>
            </w:r>
          </w:p>
        </w:tc>
        <w:tc>
          <w:tcPr>
            <w:tcW w:w="2551" w:type="dxa"/>
            <w:vAlign w:val="center"/>
          </w:tcPr>
          <w:p>
            <w:pPr>
              <w:pStyle w:val="13"/>
            </w:pPr>
            <w:r>
              <w:t>500000.00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3"/>
            </w:pPr>
            <w:r>
              <w:t>行政审批业务经费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1.有力推进开展行政审批业务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开展省市下发审批事项的日常审批，组织管理其他单位入驻</w:t>
            </w:r>
          </w:p>
        </w:tc>
        <w:tc>
          <w:tcPr>
            <w:tcW w:w="5386" w:type="dxa"/>
            <w:vAlign w:val="center"/>
          </w:tcPr>
          <w:p>
            <w:pPr>
              <w:pStyle w:val="13"/>
            </w:pPr>
            <w:r>
              <w:t>承接省市下发214项事项审批任务，组织涉及30多个单位的577项县级政务服务事项集中进驻政务服务大厅</w:t>
            </w:r>
          </w:p>
        </w:tc>
        <w:tc>
          <w:tcPr>
            <w:tcW w:w="2268" w:type="dxa"/>
            <w:vAlign w:val="center"/>
          </w:tcPr>
          <w:p>
            <w:pPr>
              <w:pStyle w:val="13"/>
            </w:pPr>
            <w:r>
              <w:t>≥0.9595%以上全部完成</w:t>
            </w:r>
          </w:p>
        </w:tc>
        <w:tc>
          <w:tcPr>
            <w:tcW w:w="1276" w:type="dxa"/>
            <w:vAlign w:val="center"/>
          </w:tcPr>
          <w:p>
            <w:pPr>
              <w:pStyle w:val="13"/>
            </w:pPr>
            <w:r>
              <w:t>承接事项是否全面，窗口入驻是否完成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质量指标</w:t>
            </w:r>
          </w:p>
        </w:tc>
        <w:tc>
          <w:tcPr>
            <w:tcW w:w="2835" w:type="dxa"/>
            <w:vAlign w:val="center"/>
          </w:tcPr>
          <w:p>
            <w:pPr>
              <w:pStyle w:val="13"/>
            </w:pPr>
            <w:r>
              <w:t>行政审批案卷合法合规</w:t>
            </w:r>
          </w:p>
        </w:tc>
        <w:tc>
          <w:tcPr>
            <w:tcW w:w="5386" w:type="dxa"/>
            <w:vAlign w:val="center"/>
          </w:tcPr>
          <w:p>
            <w:pPr>
              <w:pStyle w:val="13"/>
            </w:pPr>
            <w:r>
              <w:t>主体合法、事项合法、适用法律依据合法、程序合法、实施行政许可每个阶段应具备的各种法律文书及其内容要素标准规范</w:t>
            </w:r>
          </w:p>
        </w:tc>
        <w:tc>
          <w:tcPr>
            <w:tcW w:w="2268" w:type="dxa"/>
            <w:vAlign w:val="center"/>
          </w:tcPr>
          <w:p>
            <w:pPr>
              <w:pStyle w:val="13"/>
            </w:pPr>
            <w:r>
              <w:t>≥0.9595%全部符合</w:t>
            </w:r>
          </w:p>
        </w:tc>
        <w:tc>
          <w:tcPr>
            <w:tcW w:w="1276" w:type="dxa"/>
            <w:vAlign w:val="center"/>
          </w:tcPr>
          <w:p>
            <w:pPr>
              <w:pStyle w:val="13"/>
            </w:pPr>
            <w:r>
              <w:t>案卷审查通过率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时效指标</w:t>
            </w:r>
          </w:p>
        </w:tc>
        <w:tc>
          <w:tcPr>
            <w:tcW w:w="2835" w:type="dxa"/>
            <w:vAlign w:val="center"/>
          </w:tcPr>
          <w:p>
            <w:pPr>
              <w:pStyle w:val="13"/>
            </w:pPr>
            <w:r>
              <w:t>政务服务事项有效办件量用时</w:t>
            </w:r>
          </w:p>
        </w:tc>
        <w:tc>
          <w:tcPr>
            <w:tcW w:w="5386" w:type="dxa"/>
            <w:vAlign w:val="center"/>
          </w:tcPr>
          <w:p>
            <w:pPr>
              <w:pStyle w:val="13"/>
            </w:pPr>
            <w:r>
              <w:t>从办理到办结全过程用时是否达到全省平均值</w:t>
            </w:r>
          </w:p>
        </w:tc>
        <w:tc>
          <w:tcPr>
            <w:tcW w:w="2268" w:type="dxa"/>
            <w:vAlign w:val="center"/>
          </w:tcPr>
          <w:p>
            <w:pPr>
              <w:pStyle w:val="13"/>
            </w:pPr>
            <w:r>
              <w:t>≥0.99审批用时99%不低于全省平均水平</w:t>
            </w:r>
          </w:p>
        </w:tc>
        <w:tc>
          <w:tcPr>
            <w:tcW w:w="1276" w:type="dxa"/>
            <w:vAlign w:val="center"/>
          </w:tcPr>
          <w:p>
            <w:pPr>
              <w:pStyle w:val="13"/>
            </w:pPr>
            <w:r>
              <w:t>省一体化政务服务平台数据提取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成本指标</w:t>
            </w:r>
          </w:p>
        </w:tc>
        <w:tc>
          <w:tcPr>
            <w:tcW w:w="2835" w:type="dxa"/>
            <w:vAlign w:val="center"/>
          </w:tcPr>
          <w:p>
            <w:pPr>
              <w:pStyle w:val="13"/>
            </w:pPr>
            <w:r>
              <w:t>财政预算支持</w:t>
            </w:r>
          </w:p>
        </w:tc>
        <w:tc>
          <w:tcPr>
            <w:tcW w:w="5386" w:type="dxa"/>
            <w:vAlign w:val="center"/>
          </w:tcPr>
          <w:p>
            <w:pPr>
              <w:pStyle w:val="13"/>
            </w:pPr>
            <w:r>
              <w:t>是否纳入财政预算支持，并按期拨付使用</w:t>
            </w:r>
          </w:p>
        </w:tc>
        <w:tc>
          <w:tcPr>
            <w:tcW w:w="2268" w:type="dxa"/>
            <w:vAlign w:val="center"/>
          </w:tcPr>
          <w:p>
            <w:pPr>
              <w:pStyle w:val="13"/>
            </w:pPr>
            <w:r>
              <w:t>≥0.95财政拨付到位款项，资金利用率95%以上</w:t>
            </w:r>
          </w:p>
        </w:tc>
        <w:tc>
          <w:tcPr>
            <w:tcW w:w="1276" w:type="dxa"/>
            <w:vAlign w:val="center"/>
          </w:tcPr>
          <w:p>
            <w:pPr>
              <w:pStyle w:val="13"/>
            </w:pPr>
            <w:r>
              <w:t>财政指标拨付支出记录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提速增效，市场主体数量持续增长、审批时限压缩</w:t>
            </w:r>
          </w:p>
        </w:tc>
        <w:tc>
          <w:tcPr>
            <w:tcW w:w="5386" w:type="dxa"/>
            <w:vAlign w:val="center"/>
          </w:tcPr>
          <w:p>
            <w:pPr>
              <w:pStyle w:val="13"/>
            </w:pPr>
            <w:r>
              <w:t>新增市场主体登记审批时间逐步压缩</w:t>
            </w:r>
          </w:p>
        </w:tc>
        <w:tc>
          <w:tcPr>
            <w:tcW w:w="2268" w:type="dxa"/>
            <w:vAlign w:val="center"/>
          </w:tcPr>
          <w:p>
            <w:pPr>
              <w:pStyle w:val="13"/>
            </w:pPr>
            <w:r>
              <w:t>≥0.98企业开办登记审批压缩至30分钟内</w:t>
            </w:r>
          </w:p>
        </w:tc>
        <w:tc>
          <w:tcPr>
            <w:tcW w:w="1276" w:type="dxa"/>
            <w:vAlign w:val="center"/>
          </w:tcPr>
          <w:p>
            <w:pPr>
              <w:pStyle w:val="13"/>
            </w:pPr>
            <w:r>
              <w:t>一体化平台数据提取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社会效益指标</w:t>
            </w:r>
          </w:p>
        </w:tc>
        <w:tc>
          <w:tcPr>
            <w:tcW w:w="2835" w:type="dxa"/>
            <w:vAlign w:val="center"/>
          </w:tcPr>
          <w:p>
            <w:pPr>
              <w:pStyle w:val="13"/>
            </w:pPr>
            <w:r>
              <w:t>掌上通办事项、民生服务套餐事项达到省级要求</w:t>
            </w:r>
          </w:p>
        </w:tc>
        <w:tc>
          <w:tcPr>
            <w:tcW w:w="5386" w:type="dxa"/>
            <w:vAlign w:val="center"/>
          </w:tcPr>
          <w:p>
            <w:pPr>
              <w:pStyle w:val="13"/>
            </w:pPr>
            <w:r>
              <w:t>掌上通办事项、民生服务套餐各占50%权重。掌上通办事项达到省级要求240项</w:t>
            </w:r>
          </w:p>
        </w:tc>
        <w:tc>
          <w:tcPr>
            <w:tcW w:w="2268" w:type="dxa"/>
            <w:vAlign w:val="center"/>
          </w:tcPr>
          <w:p>
            <w:pPr>
              <w:pStyle w:val="13"/>
            </w:pPr>
            <w:r>
              <w:t>≥0.99160-240项扣50%分数</w:t>
            </w:r>
          </w:p>
        </w:tc>
        <w:tc>
          <w:tcPr>
            <w:tcW w:w="1276" w:type="dxa"/>
            <w:vAlign w:val="center"/>
          </w:tcPr>
          <w:p>
            <w:pPr>
              <w:pStyle w:val="13"/>
            </w:pPr>
            <w:r>
              <w:t>一体化平台数据提取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生态效益指标</w:t>
            </w:r>
          </w:p>
        </w:tc>
        <w:tc>
          <w:tcPr>
            <w:tcW w:w="2835" w:type="dxa"/>
            <w:vAlign w:val="center"/>
          </w:tcPr>
          <w:p>
            <w:pPr>
              <w:pStyle w:val="13"/>
            </w:pPr>
            <w:r>
              <w:t>共享评估结果，为企业降低成本、耗能</w:t>
            </w:r>
          </w:p>
        </w:tc>
        <w:tc>
          <w:tcPr>
            <w:tcW w:w="5386" w:type="dxa"/>
            <w:vAlign w:val="center"/>
          </w:tcPr>
          <w:p>
            <w:pPr>
              <w:pStyle w:val="13"/>
            </w:pPr>
            <w:r>
              <w:t>规划环评、水土保持、矿产压覆、地震安全性评价、节能评估、水资源论证等6项评估事项组织开展评估工作</w:t>
            </w:r>
          </w:p>
        </w:tc>
        <w:tc>
          <w:tcPr>
            <w:tcW w:w="2268" w:type="dxa"/>
            <w:vAlign w:val="center"/>
          </w:tcPr>
          <w:p>
            <w:pPr>
              <w:pStyle w:val="13"/>
            </w:pPr>
            <w:r>
              <w:t>≥0.95以上6项评估结果在企业开办审批过程中全部共享</w:t>
            </w:r>
          </w:p>
        </w:tc>
        <w:tc>
          <w:tcPr>
            <w:tcW w:w="1276" w:type="dxa"/>
            <w:vAlign w:val="center"/>
          </w:tcPr>
          <w:p>
            <w:pPr>
              <w:pStyle w:val="13"/>
            </w:pPr>
            <w:r>
              <w:t>案卷审查共享情况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可持续影响指标</w:t>
            </w:r>
          </w:p>
        </w:tc>
        <w:tc>
          <w:tcPr>
            <w:tcW w:w="2835" w:type="dxa"/>
            <w:vAlign w:val="center"/>
          </w:tcPr>
          <w:p>
            <w:pPr>
              <w:pStyle w:val="13"/>
            </w:pPr>
            <w:r>
              <w:t>县级政务服务中心建设标准符合河北省推进政府职能转变和“放管服”改革协调小组办公室提出的标准</w:t>
            </w:r>
          </w:p>
        </w:tc>
        <w:tc>
          <w:tcPr>
            <w:tcW w:w="5386" w:type="dxa"/>
            <w:vAlign w:val="center"/>
          </w:tcPr>
          <w:p>
            <w:pPr>
              <w:pStyle w:val="13"/>
            </w:pPr>
            <w:r>
              <w:t>“只进一扇门，能办所有事”</w:t>
            </w:r>
          </w:p>
        </w:tc>
        <w:tc>
          <w:tcPr>
            <w:tcW w:w="2268" w:type="dxa"/>
            <w:vAlign w:val="center"/>
          </w:tcPr>
          <w:p>
            <w:pPr>
              <w:pStyle w:val="13"/>
            </w:pPr>
            <w:r>
              <w:t>≥0.98县级政务服务中心迁址全面完成</w:t>
            </w:r>
          </w:p>
        </w:tc>
        <w:tc>
          <w:tcPr>
            <w:tcW w:w="1276" w:type="dxa"/>
            <w:vAlign w:val="center"/>
          </w:tcPr>
          <w:p>
            <w:pPr>
              <w:pStyle w:val="13"/>
            </w:pPr>
            <w:r>
              <w:t>迁址完成并投入使用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政务服务“好差评”</w:t>
            </w:r>
          </w:p>
        </w:tc>
        <w:tc>
          <w:tcPr>
            <w:tcW w:w="5386" w:type="dxa"/>
            <w:vAlign w:val="center"/>
          </w:tcPr>
          <w:p>
            <w:pPr>
              <w:pStyle w:val="13"/>
            </w:pPr>
            <w:r>
              <w:t>畅通评价渠道、窗口评价器配置、河北政务服务网、冀时办APP、电话、二维码等线上线下评价是否畅通</w:t>
            </w:r>
          </w:p>
        </w:tc>
        <w:tc>
          <w:tcPr>
            <w:tcW w:w="2268" w:type="dxa"/>
            <w:vAlign w:val="center"/>
          </w:tcPr>
          <w:p>
            <w:pPr>
              <w:pStyle w:val="13"/>
            </w:pPr>
            <w:r>
              <w:t>≥0.99100%全覆盖，且好评率不低于省级标准</w:t>
            </w:r>
          </w:p>
        </w:tc>
        <w:tc>
          <w:tcPr>
            <w:tcW w:w="1276" w:type="dxa"/>
            <w:vAlign w:val="center"/>
          </w:tcPr>
          <w:p>
            <w:pPr>
              <w:pStyle w:val="13"/>
            </w:pPr>
            <w:r>
              <w:t>省“好差评”系统数据提取；现场核验投诉处理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5、优化营商环境绩效目标表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13022925P00JXC410263J</w:t>
            </w:r>
          </w:p>
        </w:tc>
        <w:tc>
          <w:tcPr>
            <w:tcW w:w="2835" w:type="dxa"/>
            <w:vAlign w:val="center"/>
          </w:tcPr>
          <w:p>
            <w:pPr>
              <w:pStyle w:val="11"/>
            </w:pPr>
            <w:r>
              <w:t>项目名称</w:t>
            </w:r>
          </w:p>
        </w:tc>
        <w:tc>
          <w:tcPr>
            <w:tcW w:w="6095" w:type="dxa"/>
            <w:gridSpan w:val="3"/>
            <w:vAlign w:val="center"/>
          </w:tcPr>
          <w:p>
            <w:pPr>
              <w:pStyle w:val="13"/>
            </w:pPr>
            <w:r>
              <w:t>优化营商环境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3"/>
            </w:pPr>
            <w:r>
              <w:t>优化营商环境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1.有序推进优化营商环境各项工作开展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“一件事一次办”，</w:t>
            </w:r>
          </w:p>
        </w:tc>
        <w:tc>
          <w:tcPr>
            <w:tcW w:w="5386" w:type="dxa"/>
            <w:vAlign w:val="center"/>
          </w:tcPr>
          <w:p>
            <w:pPr>
              <w:pStyle w:val="13"/>
            </w:pPr>
            <w:r>
              <w:t>68项一件事一次办工作推进</w:t>
            </w:r>
          </w:p>
        </w:tc>
        <w:tc>
          <w:tcPr>
            <w:tcW w:w="2268" w:type="dxa"/>
            <w:vAlign w:val="center"/>
          </w:tcPr>
          <w:p>
            <w:pPr>
              <w:pStyle w:val="13"/>
            </w:pPr>
            <w:r>
              <w:t>≥1100%全部完成</w:t>
            </w:r>
          </w:p>
        </w:tc>
        <w:tc>
          <w:tcPr>
            <w:tcW w:w="1276" w:type="dxa"/>
            <w:vAlign w:val="center"/>
          </w:tcPr>
          <w:p>
            <w:pPr>
              <w:pStyle w:val="13"/>
            </w:pPr>
            <w:r>
              <w:t>省政务平台数据提取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质量指标</w:t>
            </w:r>
          </w:p>
        </w:tc>
        <w:tc>
          <w:tcPr>
            <w:tcW w:w="2835" w:type="dxa"/>
            <w:vAlign w:val="center"/>
          </w:tcPr>
          <w:p>
            <w:pPr>
              <w:pStyle w:val="13"/>
            </w:pPr>
            <w:r>
              <w:t>功能区建设</w:t>
            </w:r>
          </w:p>
        </w:tc>
        <w:tc>
          <w:tcPr>
            <w:tcW w:w="5386" w:type="dxa"/>
            <w:vAlign w:val="center"/>
          </w:tcPr>
          <w:p>
            <w:pPr>
              <w:pStyle w:val="13"/>
            </w:pPr>
            <w:r>
              <w:t>完成窗口服务区、审前服务区、休息等候区、自助服务区、投资建设区、专属接待区、政务公开区、投诉调解区、后台审批区、会议室、视频监控区建设</w:t>
            </w:r>
          </w:p>
        </w:tc>
        <w:tc>
          <w:tcPr>
            <w:tcW w:w="2268" w:type="dxa"/>
            <w:vAlign w:val="center"/>
          </w:tcPr>
          <w:p>
            <w:pPr>
              <w:pStyle w:val="13"/>
            </w:pPr>
            <w:r>
              <w:t>≥0.9根据资金到位情况逐步开展，年底前不低于任务90%</w:t>
            </w:r>
          </w:p>
        </w:tc>
        <w:tc>
          <w:tcPr>
            <w:tcW w:w="1276" w:type="dxa"/>
            <w:vAlign w:val="center"/>
          </w:tcPr>
          <w:p>
            <w:pPr>
              <w:pStyle w:val="13"/>
            </w:pPr>
            <w:r>
              <w:t>现场验收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时效指标</w:t>
            </w:r>
          </w:p>
        </w:tc>
        <w:tc>
          <w:tcPr>
            <w:tcW w:w="2835" w:type="dxa"/>
            <w:vAlign w:val="center"/>
          </w:tcPr>
          <w:p>
            <w:pPr>
              <w:pStyle w:val="13"/>
            </w:pPr>
            <w:r>
              <w:t>开办企业耗时</w:t>
            </w:r>
          </w:p>
        </w:tc>
        <w:tc>
          <w:tcPr>
            <w:tcW w:w="5386" w:type="dxa"/>
            <w:vAlign w:val="center"/>
          </w:tcPr>
          <w:p>
            <w:pPr>
              <w:pStyle w:val="13"/>
            </w:pPr>
            <w:r>
              <w:t>从办理到办结全过程用时是否达到全省平均值</w:t>
            </w:r>
          </w:p>
        </w:tc>
        <w:tc>
          <w:tcPr>
            <w:tcW w:w="2268" w:type="dxa"/>
            <w:vAlign w:val="center"/>
          </w:tcPr>
          <w:p>
            <w:pPr>
              <w:pStyle w:val="13"/>
            </w:pPr>
            <w:r>
              <w:t>≥0.99审批用时99%不低于全省平均水平</w:t>
            </w:r>
          </w:p>
        </w:tc>
        <w:tc>
          <w:tcPr>
            <w:tcW w:w="1276" w:type="dxa"/>
            <w:vAlign w:val="center"/>
          </w:tcPr>
          <w:p>
            <w:pPr>
              <w:pStyle w:val="13"/>
            </w:pPr>
            <w:r>
              <w:t>省一体化政务服务平台数据提取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成本指标</w:t>
            </w:r>
          </w:p>
        </w:tc>
        <w:tc>
          <w:tcPr>
            <w:tcW w:w="2835" w:type="dxa"/>
            <w:vAlign w:val="center"/>
          </w:tcPr>
          <w:p>
            <w:pPr>
              <w:pStyle w:val="13"/>
            </w:pPr>
            <w:r>
              <w:t>财政预算支持</w:t>
            </w:r>
          </w:p>
        </w:tc>
        <w:tc>
          <w:tcPr>
            <w:tcW w:w="5386" w:type="dxa"/>
            <w:vAlign w:val="center"/>
          </w:tcPr>
          <w:p>
            <w:pPr>
              <w:pStyle w:val="13"/>
            </w:pPr>
            <w:r>
              <w:t>是否纳入财政预算支持，并按期拨付使用</w:t>
            </w:r>
          </w:p>
        </w:tc>
        <w:tc>
          <w:tcPr>
            <w:tcW w:w="2268" w:type="dxa"/>
            <w:vAlign w:val="center"/>
          </w:tcPr>
          <w:p>
            <w:pPr>
              <w:pStyle w:val="13"/>
            </w:pPr>
            <w:r>
              <w:t>≥0.95财政拨付到位款项，资金利用率95%以上</w:t>
            </w:r>
          </w:p>
        </w:tc>
        <w:tc>
          <w:tcPr>
            <w:tcW w:w="1276" w:type="dxa"/>
            <w:vAlign w:val="center"/>
          </w:tcPr>
          <w:p>
            <w:pPr>
              <w:pStyle w:val="13"/>
            </w:pPr>
            <w:r>
              <w:t>财政指标拨付支出记录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提速增效，推行企业全周期服务</w:t>
            </w:r>
          </w:p>
        </w:tc>
        <w:tc>
          <w:tcPr>
            <w:tcW w:w="5386" w:type="dxa"/>
            <w:vAlign w:val="center"/>
          </w:tcPr>
          <w:p>
            <w:pPr>
              <w:pStyle w:val="13"/>
            </w:pPr>
            <w:r>
              <w:t>新增市场主体数量逐年上升，助力县域经济增长</w:t>
            </w:r>
          </w:p>
        </w:tc>
        <w:tc>
          <w:tcPr>
            <w:tcW w:w="2268" w:type="dxa"/>
            <w:vAlign w:val="center"/>
          </w:tcPr>
          <w:p>
            <w:pPr>
              <w:pStyle w:val="13"/>
            </w:pPr>
            <w:r>
              <w:t>≥0.98企业开办登记数量逐年上升，企业满意度高</w:t>
            </w:r>
          </w:p>
        </w:tc>
        <w:tc>
          <w:tcPr>
            <w:tcW w:w="1276" w:type="dxa"/>
            <w:vAlign w:val="center"/>
          </w:tcPr>
          <w:p>
            <w:pPr>
              <w:pStyle w:val="13"/>
            </w:pPr>
            <w:r>
              <w:t>一体化平台数据提取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社会效益指标</w:t>
            </w:r>
          </w:p>
        </w:tc>
        <w:tc>
          <w:tcPr>
            <w:tcW w:w="2835" w:type="dxa"/>
            <w:vAlign w:val="center"/>
          </w:tcPr>
          <w:p>
            <w:pPr>
              <w:pStyle w:val="13"/>
            </w:pPr>
            <w:r>
              <w:t>高质量推进“政务服务‘掌上办’提升工程”建设</w:t>
            </w:r>
          </w:p>
        </w:tc>
        <w:tc>
          <w:tcPr>
            <w:tcW w:w="5386" w:type="dxa"/>
            <w:vAlign w:val="center"/>
          </w:tcPr>
          <w:p>
            <w:pPr>
              <w:pStyle w:val="13"/>
            </w:pPr>
            <w:r>
              <w:t>彻落实省市2025年民生工程工作部署，高质量推进“政务服务‘掌上办’提升工程”建设</w:t>
            </w:r>
          </w:p>
        </w:tc>
        <w:tc>
          <w:tcPr>
            <w:tcW w:w="2268" w:type="dxa"/>
            <w:vAlign w:val="center"/>
          </w:tcPr>
          <w:p>
            <w:pPr>
              <w:pStyle w:val="13"/>
            </w:pPr>
            <w:r>
              <w:t>≥0.95完成全年工作任务</w:t>
            </w:r>
          </w:p>
        </w:tc>
        <w:tc>
          <w:tcPr>
            <w:tcW w:w="1276" w:type="dxa"/>
            <w:vAlign w:val="center"/>
          </w:tcPr>
          <w:p>
            <w:pPr>
              <w:pStyle w:val="13"/>
            </w:pPr>
            <w:r>
              <w:t>一体化平台数据提取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生态效益指标</w:t>
            </w:r>
          </w:p>
        </w:tc>
        <w:tc>
          <w:tcPr>
            <w:tcW w:w="2835" w:type="dxa"/>
            <w:vAlign w:val="center"/>
          </w:tcPr>
          <w:p>
            <w:pPr>
              <w:pStyle w:val="13"/>
            </w:pPr>
            <w:r>
              <w:t>智能审批</w:t>
            </w:r>
          </w:p>
        </w:tc>
        <w:tc>
          <w:tcPr>
            <w:tcW w:w="5386" w:type="dxa"/>
            <w:vAlign w:val="center"/>
          </w:tcPr>
          <w:p>
            <w:pPr>
              <w:pStyle w:val="13"/>
            </w:pPr>
            <w:r>
              <w:t>结合工作实际，在企业设立、人力资源、食品经营等事项审批中，推行智能审批</w:t>
            </w:r>
          </w:p>
        </w:tc>
        <w:tc>
          <w:tcPr>
            <w:tcW w:w="2268" w:type="dxa"/>
            <w:vAlign w:val="center"/>
          </w:tcPr>
          <w:p>
            <w:pPr>
              <w:pStyle w:val="13"/>
            </w:pPr>
            <w:r>
              <w:t>≥0.98目前承接的3类行业审批事项全部实现智能审批</w:t>
            </w:r>
          </w:p>
        </w:tc>
        <w:tc>
          <w:tcPr>
            <w:tcW w:w="1276" w:type="dxa"/>
            <w:vAlign w:val="center"/>
          </w:tcPr>
          <w:p>
            <w:pPr>
              <w:pStyle w:val="13"/>
            </w:pPr>
            <w:r>
              <w:t>一体化平台数据提取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可持续影响指标</w:t>
            </w:r>
          </w:p>
        </w:tc>
        <w:tc>
          <w:tcPr>
            <w:tcW w:w="2835" w:type="dxa"/>
            <w:vAlign w:val="center"/>
          </w:tcPr>
          <w:p>
            <w:pPr>
              <w:pStyle w:val="13"/>
            </w:pPr>
            <w:r>
              <w:t>承接事项审批流程图办事指南</w:t>
            </w:r>
          </w:p>
        </w:tc>
        <w:tc>
          <w:tcPr>
            <w:tcW w:w="5386" w:type="dxa"/>
            <w:vAlign w:val="center"/>
          </w:tcPr>
          <w:p>
            <w:pPr>
              <w:pStyle w:val="13"/>
            </w:pPr>
            <w:r>
              <w:t>按照省市统一部署，持续做好省、市下放行政许可事项的承接工作，及时编制流程图和办事指南</w:t>
            </w:r>
          </w:p>
        </w:tc>
        <w:tc>
          <w:tcPr>
            <w:tcW w:w="2268" w:type="dxa"/>
            <w:vAlign w:val="center"/>
          </w:tcPr>
          <w:p>
            <w:pPr>
              <w:pStyle w:val="13"/>
            </w:pPr>
            <w:r>
              <w:t>≥0.99下放事项全部完成流程及指南编制制作</w:t>
            </w:r>
          </w:p>
        </w:tc>
        <w:tc>
          <w:tcPr>
            <w:tcW w:w="1276" w:type="dxa"/>
            <w:vAlign w:val="center"/>
          </w:tcPr>
          <w:p>
            <w:pPr>
              <w:pStyle w:val="13"/>
            </w:pPr>
            <w:r>
              <w:t>现场验收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重点项目回访好评率</w:t>
            </w:r>
          </w:p>
        </w:tc>
        <w:tc>
          <w:tcPr>
            <w:tcW w:w="5386" w:type="dxa"/>
            <w:vAlign w:val="center"/>
          </w:tcPr>
          <w:p>
            <w:pPr>
              <w:pStyle w:val="13"/>
            </w:pPr>
            <w:r>
              <w:t>对重点项目政务服务办事体验进行电话回访</w:t>
            </w:r>
          </w:p>
        </w:tc>
        <w:tc>
          <w:tcPr>
            <w:tcW w:w="2268" w:type="dxa"/>
            <w:vAlign w:val="center"/>
          </w:tcPr>
          <w:p>
            <w:pPr>
              <w:pStyle w:val="13"/>
            </w:pPr>
            <w:r>
              <w:t>≥0.99回访好评率不低于95%</w:t>
            </w:r>
          </w:p>
        </w:tc>
        <w:tc>
          <w:tcPr>
            <w:tcW w:w="1276" w:type="dxa"/>
            <w:vAlign w:val="center"/>
          </w:tcPr>
          <w:p>
            <w:pPr>
              <w:pStyle w:val="13"/>
            </w:pPr>
            <w:r>
              <w:t>现场验收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6、政务服务中心场地租赁绩效目标表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13022925P00JXC410308N</w:t>
            </w:r>
          </w:p>
        </w:tc>
        <w:tc>
          <w:tcPr>
            <w:tcW w:w="2835" w:type="dxa"/>
            <w:vAlign w:val="center"/>
          </w:tcPr>
          <w:p>
            <w:pPr>
              <w:pStyle w:val="11"/>
            </w:pPr>
            <w:r>
              <w:t>项目名称</w:t>
            </w:r>
          </w:p>
        </w:tc>
        <w:tc>
          <w:tcPr>
            <w:tcW w:w="6095" w:type="dxa"/>
            <w:gridSpan w:val="3"/>
            <w:vAlign w:val="center"/>
          </w:tcPr>
          <w:p>
            <w:pPr>
              <w:pStyle w:val="13"/>
            </w:pPr>
            <w:r>
              <w:t>政务服务中心场地租赁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2160000.00</w:t>
            </w:r>
          </w:p>
        </w:tc>
        <w:tc>
          <w:tcPr>
            <w:tcW w:w="2835" w:type="dxa"/>
            <w:vAlign w:val="center"/>
          </w:tcPr>
          <w:p>
            <w:pPr>
              <w:pStyle w:val="11"/>
            </w:pPr>
            <w:r>
              <w:t>其中：财政    资金</w:t>
            </w:r>
          </w:p>
        </w:tc>
        <w:tc>
          <w:tcPr>
            <w:tcW w:w="2551" w:type="dxa"/>
            <w:vAlign w:val="center"/>
          </w:tcPr>
          <w:p>
            <w:pPr>
              <w:pStyle w:val="13"/>
            </w:pPr>
            <w:r>
              <w:t>2160000.00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3"/>
            </w:pPr>
            <w:r>
              <w:t>政务服务大厅场地租赁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1.正常维护政务服务大厅工作秩序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租赁面积</w:t>
            </w:r>
          </w:p>
        </w:tc>
        <w:tc>
          <w:tcPr>
            <w:tcW w:w="5386" w:type="dxa"/>
            <w:vAlign w:val="center"/>
          </w:tcPr>
          <w:p>
            <w:pPr>
              <w:pStyle w:val="13"/>
            </w:pPr>
            <w:r>
              <w:t>租赁面积</w:t>
            </w:r>
          </w:p>
        </w:tc>
        <w:tc>
          <w:tcPr>
            <w:tcW w:w="2268" w:type="dxa"/>
            <w:vAlign w:val="center"/>
          </w:tcPr>
          <w:p>
            <w:pPr>
              <w:pStyle w:val="13"/>
            </w:pPr>
            <w:r>
              <w:t>4490平米</w:t>
            </w:r>
          </w:p>
        </w:tc>
        <w:tc>
          <w:tcPr>
            <w:tcW w:w="1276" w:type="dxa"/>
            <w:vAlign w:val="center"/>
          </w:tcPr>
          <w:p>
            <w:pPr>
              <w:pStyle w:val="13"/>
            </w:pPr>
            <w:r>
              <w:t>租赁面积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质量指标</w:t>
            </w:r>
          </w:p>
        </w:tc>
        <w:tc>
          <w:tcPr>
            <w:tcW w:w="2835" w:type="dxa"/>
            <w:vAlign w:val="center"/>
          </w:tcPr>
          <w:p>
            <w:pPr>
              <w:pStyle w:val="13"/>
            </w:pPr>
            <w:r>
              <w:t>租赁面积</w:t>
            </w:r>
          </w:p>
        </w:tc>
        <w:tc>
          <w:tcPr>
            <w:tcW w:w="5386" w:type="dxa"/>
            <w:vAlign w:val="center"/>
          </w:tcPr>
          <w:p>
            <w:pPr>
              <w:pStyle w:val="13"/>
            </w:pPr>
            <w:r>
              <w:t>办公用房租赁</w:t>
            </w:r>
          </w:p>
        </w:tc>
        <w:tc>
          <w:tcPr>
            <w:tcW w:w="2268" w:type="dxa"/>
            <w:vAlign w:val="center"/>
          </w:tcPr>
          <w:p>
            <w:pPr>
              <w:pStyle w:val="13"/>
            </w:pPr>
            <w:r>
              <w:t>4490办公用房租赁</w:t>
            </w:r>
          </w:p>
        </w:tc>
        <w:tc>
          <w:tcPr>
            <w:tcW w:w="1276" w:type="dxa"/>
            <w:vAlign w:val="center"/>
          </w:tcPr>
          <w:p>
            <w:pPr>
              <w:pStyle w:val="13"/>
            </w:pPr>
            <w:r>
              <w:t>办公场所设置合理，保障充足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时效指标</w:t>
            </w:r>
          </w:p>
        </w:tc>
        <w:tc>
          <w:tcPr>
            <w:tcW w:w="2835" w:type="dxa"/>
            <w:vAlign w:val="center"/>
          </w:tcPr>
          <w:p>
            <w:pPr>
              <w:pStyle w:val="13"/>
            </w:pPr>
            <w:r>
              <w:t>工作实效</w:t>
            </w:r>
          </w:p>
        </w:tc>
        <w:tc>
          <w:tcPr>
            <w:tcW w:w="5386" w:type="dxa"/>
            <w:vAlign w:val="center"/>
          </w:tcPr>
          <w:p>
            <w:pPr>
              <w:pStyle w:val="13"/>
            </w:pPr>
            <w:r>
              <w:t>工作实效</w:t>
            </w:r>
          </w:p>
        </w:tc>
        <w:tc>
          <w:tcPr>
            <w:tcW w:w="2268" w:type="dxa"/>
            <w:vAlign w:val="center"/>
          </w:tcPr>
          <w:p>
            <w:pPr>
              <w:pStyle w:val="13"/>
            </w:pPr>
            <w:r>
              <w:t>≥100按时搬迁</w:t>
            </w:r>
          </w:p>
        </w:tc>
        <w:tc>
          <w:tcPr>
            <w:tcW w:w="1276" w:type="dxa"/>
            <w:vAlign w:val="center"/>
          </w:tcPr>
          <w:p>
            <w:pPr>
              <w:pStyle w:val="13"/>
            </w:pPr>
            <w:r>
              <w:t>按期入驻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成本指标</w:t>
            </w:r>
          </w:p>
        </w:tc>
        <w:tc>
          <w:tcPr>
            <w:tcW w:w="2835" w:type="dxa"/>
            <w:vAlign w:val="center"/>
          </w:tcPr>
          <w:p>
            <w:pPr>
              <w:pStyle w:val="13"/>
            </w:pPr>
            <w:r>
              <w:t>项目预算控制</w:t>
            </w:r>
          </w:p>
        </w:tc>
        <w:tc>
          <w:tcPr>
            <w:tcW w:w="5386" w:type="dxa"/>
            <w:vAlign w:val="center"/>
          </w:tcPr>
          <w:p>
            <w:pPr>
              <w:pStyle w:val="13"/>
            </w:pPr>
            <w:r>
              <w:t>项目预算控制</w:t>
            </w:r>
          </w:p>
        </w:tc>
        <w:tc>
          <w:tcPr>
            <w:tcW w:w="2268" w:type="dxa"/>
            <w:vAlign w:val="center"/>
          </w:tcPr>
          <w:p>
            <w:pPr>
              <w:pStyle w:val="13"/>
            </w:pPr>
            <w:r>
              <w:t>≥99预算内完成</w:t>
            </w:r>
          </w:p>
        </w:tc>
        <w:tc>
          <w:tcPr>
            <w:tcW w:w="1276" w:type="dxa"/>
            <w:vAlign w:val="center"/>
          </w:tcPr>
          <w:p>
            <w:pPr>
              <w:pStyle w:val="13"/>
            </w:pPr>
            <w:r>
              <w:t>预算内完成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≥98专区设置合理</w:t>
            </w:r>
          </w:p>
        </w:tc>
        <w:tc>
          <w:tcPr>
            <w:tcW w:w="1276" w:type="dxa"/>
            <w:vAlign w:val="center"/>
          </w:tcPr>
          <w:p>
            <w:pPr>
              <w:pStyle w:val="13"/>
            </w:pPr>
            <w:r>
              <w:t>便捷高效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社会效益指标</w:t>
            </w:r>
          </w:p>
        </w:tc>
        <w:tc>
          <w:tcPr>
            <w:tcW w:w="2835" w:type="dxa"/>
            <w:vAlign w:val="center"/>
          </w:tcPr>
          <w:p>
            <w:pPr>
              <w:pStyle w:val="13"/>
            </w:pPr>
            <w:r>
              <w:t>保障能力提升</w:t>
            </w:r>
          </w:p>
        </w:tc>
        <w:tc>
          <w:tcPr>
            <w:tcW w:w="5386" w:type="dxa"/>
            <w:vAlign w:val="center"/>
          </w:tcPr>
          <w:p>
            <w:pPr>
              <w:pStyle w:val="13"/>
            </w:pPr>
            <w:r>
              <w:t>保障能力提升</w:t>
            </w:r>
          </w:p>
        </w:tc>
        <w:tc>
          <w:tcPr>
            <w:tcW w:w="2268" w:type="dxa"/>
            <w:vAlign w:val="center"/>
          </w:tcPr>
          <w:p>
            <w:pPr>
              <w:pStyle w:val="13"/>
            </w:pPr>
            <w:r>
              <w:t>≥99审批业务开展便捷高效</w:t>
            </w:r>
          </w:p>
        </w:tc>
        <w:tc>
          <w:tcPr>
            <w:tcW w:w="1276" w:type="dxa"/>
            <w:vAlign w:val="center"/>
          </w:tcPr>
          <w:p>
            <w:pPr>
              <w:pStyle w:val="13"/>
            </w:pPr>
            <w:r>
              <w:t>有利于办事群众审批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生态效益指标</w:t>
            </w:r>
          </w:p>
        </w:tc>
        <w:tc>
          <w:tcPr>
            <w:tcW w:w="2835" w:type="dxa"/>
            <w:vAlign w:val="center"/>
          </w:tcPr>
          <w:p>
            <w:pPr>
              <w:pStyle w:val="13"/>
            </w:pPr>
            <w:r>
              <w:t>建设项目环评执行率</w:t>
            </w:r>
          </w:p>
        </w:tc>
        <w:tc>
          <w:tcPr>
            <w:tcW w:w="5386" w:type="dxa"/>
            <w:vAlign w:val="center"/>
          </w:tcPr>
          <w:p>
            <w:pPr>
              <w:pStyle w:val="13"/>
            </w:pPr>
            <w:r>
              <w:t>建设项目环评执行率</w:t>
            </w:r>
          </w:p>
        </w:tc>
        <w:tc>
          <w:tcPr>
            <w:tcW w:w="2268" w:type="dxa"/>
            <w:vAlign w:val="center"/>
          </w:tcPr>
          <w:p>
            <w:pPr>
              <w:pStyle w:val="13"/>
            </w:pPr>
            <w:r>
              <w:t>≥95符合生态环保要求</w:t>
            </w:r>
          </w:p>
        </w:tc>
        <w:tc>
          <w:tcPr>
            <w:tcW w:w="1276" w:type="dxa"/>
            <w:vAlign w:val="center"/>
          </w:tcPr>
          <w:p>
            <w:pPr>
              <w:pStyle w:val="13"/>
            </w:pPr>
            <w:r>
              <w:t>节能环保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3"/>
            </w:pPr>
            <w:r>
              <w:t>可持续影响指标</w:t>
            </w:r>
          </w:p>
        </w:tc>
        <w:tc>
          <w:tcPr>
            <w:tcW w:w="2835" w:type="dxa"/>
            <w:vAlign w:val="center"/>
          </w:tcPr>
          <w:p>
            <w:pPr>
              <w:pStyle w:val="13"/>
            </w:pPr>
            <w:r>
              <w:t>持续提升社会影响力</w:t>
            </w:r>
          </w:p>
        </w:tc>
        <w:tc>
          <w:tcPr>
            <w:tcW w:w="5386" w:type="dxa"/>
            <w:vAlign w:val="center"/>
          </w:tcPr>
          <w:p>
            <w:pPr>
              <w:pStyle w:val="13"/>
            </w:pPr>
            <w:r>
              <w:t>持续提升社会影响力</w:t>
            </w:r>
          </w:p>
        </w:tc>
        <w:tc>
          <w:tcPr>
            <w:tcW w:w="2268" w:type="dxa"/>
            <w:vAlign w:val="center"/>
          </w:tcPr>
          <w:p>
            <w:pPr>
              <w:pStyle w:val="13"/>
            </w:pPr>
            <w:r>
              <w:t>≥98社会影响力</w:t>
            </w:r>
          </w:p>
        </w:tc>
        <w:tc>
          <w:tcPr>
            <w:tcW w:w="1276" w:type="dxa"/>
            <w:vAlign w:val="center"/>
          </w:tcPr>
          <w:p>
            <w:pPr>
              <w:pStyle w:val="13"/>
            </w:pPr>
            <w:r>
              <w:t>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社会公众或服务对象满意度</w:t>
            </w:r>
          </w:p>
        </w:tc>
        <w:tc>
          <w:tcPr>
            <w:tcW w:w="5386" w:type="dxa"/>
            <w:vAlign w:val="center"/>
          </w:tcPr>
          <w:p>
            <w:pPr>
              <w:pStyle w:val="13"/>
            </w:pPr>
            <w:r>
              <w:t>社会公众或服务对象满意度</w:t>
            </w:r>
          </w:p>
        </w:tc>
        <w:tc>
          <w:tcPr>
            <w:tcW w:w="2268" w:type="dxa"/>
            <w:vAlign w:val="center"/>
          </w:tcPr>
          <w:p>
            <w:pPr>
              <w:pStyle w:val="13"/>
            </w:pPr>
            <w:r>
              <w:t>≥99群众满意度</w:t>
            </w:r>
          </w:p>
        </w:tc>
        <w:tc>
          <w:tcPr>
            <w:tcW w:w="1276" w:type="dxa"/>
            <w:vAlign w:val="center"/>
          </w:tcPr>
          <w:p>
            <w:pPr>
              <w:pStyle w:val="13"/>
            </w:pPr>
            <w:r>
              <w:t>办事群众满意度提升</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382"/>
        <w:gridCol w:w="886"/>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441玉田县行政审批局</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382" w:type="dxa"/>
            <w:vMerge w:val="restart"/>
            <w:vAlign w:val="center"/>
          </w:tcPr>
          <w:p>
            <w:pPr>
              <w:pStyle w:val="11"/>
            </w:pPr>
            <w:r>
              <w:t>采购物品名称</w:t>
            </w:r>
          </w:p>
        </w:tc>
        <w:tc>
          <w:tcPr>
            <w:tcW w:w="886"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382" w:type="dxa"/>
            <w:vMerge w:val="continue"/>
          </w:tcPr>
          <w:p>
            <w:pPr/>
          </w:p>
        </w:tc>
        <w:tc>
          <w:tcPr>
            <w:tcW w:w="886" w:type="dxa"/>
            <w:vMerge w:val="continue"/>
          </w:tcPr>
          <w:p>
            <w:pPr/>
          </w:p>
        </w:tc>
        <w:tc>
          <w:tcPr>
            <w:tcW w:w="709" w:type="dxa"/>
            <w:vMerge w:val="continue"/>
          </w:tcPr>
          <w:p>
            <w:pPr/>
          </w:p>
        </w:tc>
        <w:tc>
          <w:tcPr>
            <w:tcW w:w="850" w:type="dxa"/>
            <w:vMerge w:val="continue"/>
          </w:tcPr>
          <w:p>
            <w:pPr/>
          </w:p>
        </w:tc>
        <w:tc>
          <w:tcPr>
            <w:tcW w:w="850" w:type="dxa"/>
            <w:vMerge w:val="continue"/>
          </w:tcPr>
          <w:p>
            <w:p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rPr>
                <w:rFonts w:hint="eastAsia" w:eastAsia="方正书宋_GBK"/>
                <w:lang w:eastAsia="zh-CN"/>
              </w:rPr>
            </w:pPr>
            <w:r>
              <w:rPr>
                <w:rFonts w:hint="eastAsia"/>
                <w:lang w:eastAsia="zh-CN"/>
              </w:rPr>
              <w:t>公车购置</w:t>
            </w:r>
          </w:p>
        </w:tc>
        <w:tc>
          <w:tcPr>
            <w:tcW w:w="964" w:type="dxa"/>
            <w:vAlign w:val="center"/>
          </w:tcPr>
          <w:p>
            <w:pPr>
              <w:pStyle w:val="12"/>
              <w:rPr>
                <w:rFonts w:hint="eastAsia" w:eastAsia="方正书宋_GBK"/>
                <w:lang w:val="en-US" w:eastAsia="zh-CN"/>
              </w:rPr>
            </w:pPr>
            <w:r>
              <w:rPr>
                <w:rFonts w:hint="eastAsia"/>
                <w:lang w:val="en-US" w:eastAsia="zh-CN"/>
              </w:rPr>
              <w:t>80000</w:t>
            </w:r>
          </w:p>
        </w:tc>
        <w:tc>
          <w:tcPr>
            <w:tcW w:w="1382" w:type="dxa"/>
            <w:vAlign w:val="center"/>
          </w:tcPr>
          <w:p>
            <w:pPr>
              <w:pStyle w:val="13"/>
              <w:rPr>
                <w:rFonts w:hint="eastAsia" w:eastAsia="方正书宋_GBK"/>
                <w:lang w:eastAsia="zh-CN"/>
              </w:rPr>
            </w:pPr>
            <w:r>
              <w:rPr>
                <w:rFonts w:hint="eastAsia"/>
                <w:lang w:eastAsia="zh-CN"/>
              </w:rPr>
              <w:t>公车购置</w:t>
            </w:r>
          </w:p>
        </w:tc>
        <w:tc>
          <w:tcPr>
            <w:tcW w:w="886" w:type="dxa"/>
            <w:vAlign w:val="center"/>
          </w:tcPr>
          <w:p>
            <w:pPr>
              <w:pStyle w:val="13"/>
            </w:pPr>
          </w:p>
        </w:tc>
        <w:tc>
          <w:tcPr>
            <w:tcW w:w="709" w:type="dxa"/>
            <w:vAlign w:val="center"/>
          </w:tcPr>
          <w:p>
            <w:pPr>
              <w:pStyle w:val="14"/>
            </w:pPr>
          </w:p>
        </w:tc>
        <w:tc>
          <w:tcPr>
            <w:tcW w:w="850" w:type="dxa"/>
            <w:vAlign w:val="center"/>
          </w:tcPr>
          <w:p>
            <w:pPr>
              <w:pStyle w:val="12"/>
              <w:rPr>
                <w:rFonts w:hint="eastAsia" w:eastAsia="方正书宋_GBK"/>
                <w:lang w:val="en-US" w:eastAsia="zh-CN"/>
              </w:rPr>
            </w:pPr>
            <w:r>
              <w:rPr>
                <w:rFonts w:hint="eastAsia"/>
                <w:lang w:val="en-US" w:eastAsia="zh-CN"/>
              </w:rPr>
              <w:t>1</w:t>
            </w:r>
          </w:p>
        </w:tc>
        <w:tc>
          <w:tcPr>
            <w:tcW w:w="850" w:type="dxa"/>
            <w:vAlign w:val="center"/>
          </w:tcPr>
          <w:p>
            <w:pPr>
              <w:pStyle w:val="12"/>
              <w:rPr>
                <w:rFonts w:hint="eastAsia" w:eastAsia="方正书宋_GBK"/>
                <w:lang w:val="en-US" w:eastAsia="zh-CN"/>
              </w:rPr>
            </w:pPr>
            <w:r>
              <w:rPr>
                <w:rFonts w:hint="eastAsia"/>
                <w:lang w:val="en-US" w:eastAsia="zh-CN"/>
              </w:rPr>
              <w:t>80000</w:t>
            </w:r>
          </w:p>
        </w:tc>
        <w:tc>
          <w:tcPr>
            <w:tcW w:w="964" w:type="dxa"/>
            <w:vAlign w:val="center"/>
          </w:tcPr>
          <w:p>
            <w:pPr>
              <w:pStyle w:val="12"/>
              <w:rPr>
                <w:rFonts w:hint="eastAsia" w:eastAsia="方正书宋_GBK"/>
                <w:lang w:val="en-US" w:eastAsia="zh-CN"/>
              </w:rPr>
            </w:pPr>
            <w:r>
              <w:rPr>
                <w:rFonts w:hint="eastAsia"/>
                <w:lang w:val="en-US" w:eastAsia="zh-CN"/>
              </w:rPr>
              <w:t>80000</w:t>
            </w:r>
          </w:p>
        </w:tc>
        <w:tc>
          <w:tcPr>
            <w:tcW w:w="964" w:type="dxa"/>
            <w:vAlign w:val="center"/>
          </w:tcPr>
          <w:p>
            <w:pPr>
              <w:pStyle w:val="12"/>
              <w:rPr>
                <w:rFonts w:hint="eastAsia" w:eastAsia="方正书宋_GBK"/>
                <w:lang w:val="en-US" w:eastAsia="zh-CN"/>
              </w:rPr>
            </w:pPr>
            <w:r>
              <w:rPr>
                <w:rFonts w:hint="eastAsia"/>
                <w:lang w:val="en-US" w:eastAsia="zh-CN"/>
              </w:rPr>
              <w:t>80000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textDirection w:val="lrTb"/>
            <w:vAlign w:val="center"/>
          </w:tcPr>
          <w:p>
            <w:pPr>
              <w:pStyle w:val="12"/>
              <w:ind w:firstLine="0" w:firstLineChars="0"/>
            </w:pPr>
            <w:r>
              <w:rPr>
                <w:rFonts w:hint="eastAsia"/>
                <w:lang w:val="en-US" w:eastAsia="zh-CN"/>
              </w:rPr>
              <w:t>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jc w:val="center"/>
        </w:trPr>
        <w:tc>
          <w:tcPr>
            <w:tcW w:w="1701" w:type="dxa"/>
            <w:vAlign w:val="center"/>
          </w:tcPr>
          <w:p>
            <w:pPr>
              <w:pStyle w:val="13"/>
              <w:rPr>
                <w:rFonts w:hint="eastAsia"/>
                <w:lang w:eastAsia="zh-CN"/>
              </w:rPr>
            </w:pPr>
            <w:r>
              <w:rPr>
                <w:rFonts w:hint="eastAsia"/>
                <w:lang w:eastAsia="zh-CN"/>
              </w:rPr>
              <w:t>公车运维费</w:t>
            </w:r>
          </w:p>
        </w:tc>
        <w:tc>
          <w:tcPr>
            <w:tcW w:w="964" w:type="dxa"/>
            <w:vAlign w:val="center"/>
          </w:tcPr>
          <w:p>
            <w:pPr>
              <w:pStyle w:val="12"/>
              <w:rPr>
                <w:rFonts w:hint="eastAsia"/>
                <w:lang w:val="en-US" w:eastAsia="zh-CN"/>
              </w:rPr>
            </w:pPr>
            <w:r>
              <w:rPr>
                <w:rFonts w:hint="eastAsia"/>
                <w:lang w:val="en-US" w:eastAsia="zh-CN"/>
              </w:rPr>
              <w:t>23000</w:t>
            </w:r>
          </w:p>
        </w:tc>
        <w:tc>
          <w:tcPr>
            <w:tcW w:w="1382" w:type="dxa"/>
            <w:vAlign w:val="center"/>
          </w:tcPr>
          <w:p>
            <w:pPr>
              <w:pStyle w:val="13"/>
              <w:rPr>
                <w:rFonts w:hint="eastAsia"/>
                <w:lang w:eastAsia="zh-CN"/>
              </w:rPr>
            </w:pPr>
            <w:r>
              <w:rPr>
                <w:rFonts w:hint="eastAsia"/>
                <w:lang w:eastAsia="zh-CN"/>
              </w:rPr>
              <w:t>公车运维费</w:t>
            </w:r>
          </w:p>
        </w:tc>
        <w:tc>
          <w:tcPr>
            <w:tcW w:w="886" w:type="dxa"/>
            <w:vAlign w:val="center"/>
          </w:tcPr>
          <w:p>
            <w:pPr>
              <w:pStyle w:val="13"/>
            </w:pPr>
          </w:p>
        </w:tc>
        <w:tc>
          <w:tcPr>
            <w:tcW w:w="709" w:type="dxa"/>
            <w:vAlign w:val="center"/>
          </w:tcPr>
          <w:p>
            <w:pPr>
              <w:pStyle w:val="14"/>
            </w:pPr>
          </w:p>
        </w:tc>
        <w:tc>
          <w:tcPr>
            <w:tcW w:w="850" w:type="dxa"/>
            <w:vAlign w:val="center"/>
          </w:tcPr>
          <w:p>
            <w:pPr>
              <w:pStyle w:val="12"/>
              <w:rPr>
                <w:rFonts w:hint="eastAsia" w:eastAsia="方正书宋_GBK"/>
                <w:lang w:val="en-US" w:eastAsia="zh-CN"/>
              </w:rPr>
            </w:pPr>
            <w:r>
              <w:rPr>
                <w:rFonts w:hint="eastAsia"/>
                <w:lang w:val="en-US" w:eastAsia="zh-CN"/>
              </w:rPr>
              <w:t>1</w:t>
            </w:r>
          </w:p>
        </w:tc>
        <w:tc>
          <w:tcPr>
            <w:tcW w:w="850" w:type="dxa"/>
            <w:vAlign w:val="center"/>
          </w:tcPr>
          <w:p>
            <w:pPr>
              <w:pStyle w:val="12"/>
              <w:rPr>
                <w:rFonts w:hint="eastAsia" w:eastAsia="方正书宋_GBK"/>
                <w:lang w:val="en-US" w:eastAsia="zh-CN"/>
              </w:rPr>
            </w:pPr>
            <w:r>
              <w:rPr>
                <w:rFonts w:hint="eastAsia"/>
                <w:lang w:val="en-US" w:eastAsia="zh-CN"/>
              </w:rPr>
              <w:t>23000</w:t>
            </w:r>
          </w:p>
        </w:tc>
        <w:tc>
          <w:tcPr>
            <w:tcW w:w="964" w:type="dxa"/>
            <w:vAlign w:val="center"/>
          </w:tcPr>
          <w:p>
            <w:pPr>
              <w:pStyle w:val="12"/>
              <w:rPr>
                <w:rFonts w:hint="eastAsia" w:eastAsia="方正书宋_GBK"/>
                <w:lang w:val="en-US" w:eastAsia="zh-CN"/>
              </w:rPr>
            </w:pPr>
            <w:r>
              <w:rPr>
                <w:rFonts w:hint="eastAsia"/>
                <w:lang w:val="en-US" w:eastAsia="zh-CN"/>
              </w:rPr>
              <w:t>23000</w:t>
            </w:r>
          </w:p>
        </w:tc>
        <w:tc>
          <w:tcPr>
            <w:tcW w:w="964" w:type="dxa"/>
            <w:vAlign w:val="center"/>
          </w:tcPr>
          <w:p>
            <w:pPr>
              <w:pStyle w:val="12"/>
              <w:rPr>
                <w:rFonts w:hint="eastAsia" w:eastAsia="方正书宋_GBK"/>
                <w:lang w:val="en-US" w:eastAsia="zh-CN"/>
              </w:rPr>
            </w:pPr>
            <w:r>
              <w:rPr>
                <w:rFonts w:hint="eastAsia"/>
                <w:lang w:val="en-US" w:eastAsia="zh-CN"/>
              </w:rPr>
              <w:t>23000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textDirection w:val="lrTb"/>
            <w:vAlign w:val="center"/>
          </w:tcPr>
          <w:p>
            <w:pPr>
              <w:pStyle w:val="12"/>
              <w:ind w:firstLine="0" w:firstLineChars="0"/>
            </w:pPr>
            <w:r>
              <w:rPr>
                <w:rFonts w:hint="eastAsia"/>
                <w:lang w:val="en-US" w:eastAsia="zh-CN"/>
              </w:rPr>
              <w:t>23000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玉田县行政审批局（含所属单位）上年末固定资产金额为1536399.00元（详见下表）。本年度拟购置固定资产总额为160000.00</w:t>
      </w:r>
      <w:bookmarkStart w:id="20" w:name="_GoBack"/>
      <w:bookmarkEnd w:id="20"/>
      <w:r>
        <w:rPr>
          <w:rFonts w:ascii="Times New Roman" w:hAnsi="Times New Roman" w:eastAsia="方正仿宋_GBK" w:cs="Times New Roman"/>
          <w:b w:val="0"/>
          <w:color w:val="000000"/>
          <w:sz w:val="28"/>
        </w:rPr>
        <w:t>元</w:t>
      </w:r>
      <w:r>
        <w:rPr>
          <w:rFonts w:hint="eastAsia" w:eastAsia="方正仿宋_GBK" w:cs="Times New Roman"/>
          <w:b w:val="0"/>
          <w:color w:val="000000"/>
          <w:sz w:val="28"/>
          <w:lang w:eastAsia="zh-CN"/>
        </w:rPr>
        <w:t>，购置公车一辆</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441玉田县行政审批局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1536399.00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1495</w:t>
            </w:r>
          </w:p>
        </w:tc>
        <w:tc>
          <w:tcPr>
            <w:tcW w:w="2835" w:type="dxa"/>
            <w:vAlign w:val="center"/>
          </w:tcPr>
          <w:p>
            <w:pPr>
              <w:pStyle w:val="12"/>
            </w:pPr>
            <w:r>
              <w:t>1536399.00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E3C53EA"/>
    <w:rsid w:val="1A337C08"/>
    <w:rsid w:val="1A95222B"/>
    <w:rsid w:val="35453974"/>
    <w:rsid w:val="5E8B39F6"/>
    <w:rsid w:val="605566B5"/>
    <w:rsid w:val="63F323A4"/>
  </w:rsid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2025-01-20T18:12:00Z</dcterms:created>
  <dc:creator>Administrator</dc:creator>
  <cp:lastModifiedBy>Administrator</cp:lastModifiedBy>
  <dcterms:modified xsi:type="dcterms:W3CDTF">2025-01-24T02:21:25Z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