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一、中央农业广播电视学校玉田分校本级收支预算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一、中央农业广播电视学校玉田分校本级收支预算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814131.29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807131.29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814131.29</w:t>
            </w:r>
          </w:p>
        </w:tc>
        <w:tc>
          <w:tcPr>
            <w:tcW w:w="4535" w:type="dxa"/>
            <w:vAlign w:val="center"/>
          </w:tcPr>
          <w:p>
            <w:pPr>
              <w:pStyle w:val="14"/>
            </w:pPr>
            <w:r>
              <w:t>本年支出合计</w:t>
            </w:r>
          </w:p>
        </w:tc>
        <w:tc>
          <w:tcPr>
            <w:tcW w:w="2126" w:type="dxa"/>
            <w:vAlign w:val="center"/>
          </w:tcPr>
          <w:p>
            <w:pPr>
              <w:pStyle w:val="15"/>
            </w:pPr>
            <w:r>
              <w:t>814131.29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814131.29</w:t>
            </w:r>
          </w:p>
        </w:tc>
        <w:tc>
          <w:tcPr>
            <w:tcW w:w="4535" w:type="dxa"/>
            <w:vAlign w:val="center"/>
          </w:tcPr>
          <w:p>
            <w:pPr>
              <w:pStyle w:val="14"/>
            </w:pPr>
            <w:r>
              <w:t>支出总计</w:t>
            </w:r>
          </w:p>
        </w:tc>
        <w:tc>
          <w:tcPr>
            <w:tcW w:w="2126" w:type="dxa"/>
            <w:vAlign w:val="center"/>
          </w:tcPr>
          <w:p>
            <w:pPr>
              <w:pStyle w:val="15"/>
            </w:pPr>
            <w:r>
              <w:t>814131.29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814131.29</w:t>
            </w:r>
          </w:p>
        </w:tc>
        <w:tc>
          <w:tcPr>
            <w:tcW w:w="1134" w:type="dxa"/>
            <w:vAlign w:val="center"/>
          </w:tcPr>
          <w:p>
            <w:pPr>
              <w:pStyle w:val="15"/>
            </w:pPr>
            <w:r>
              <w:t>814131.29</w:t>
            </w:r>
          </w:p>
        </w:tc>
        <w:tc>
          <w:tcPr>
            <w:tcW w:w="1134" w:type="dxa"/>
            <w:vAlign w:val="center"/>
          </w:tcPr>
          <w:p>
            <w:pPr>
              <w:pStyle w:val="15"/>
            </w:pPr>
            <w:r>
              <w:t>814131.29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r>
              <w:t>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807131.29</w:t>
            </w:r>
          </w:p>
        </w:tc>
        <w:tc>
          <w:tcPr>
            <w:tcW w:w="1134" w:type="dxa"/>
            <w:vAlign w:val="center"/>
          </w:tcPr>
          <w:p>
            <w:pPr>
              <w:pStyle w:val="11"/>
            </w:pPr>
            <w:r>
              <w:t>807131.29</w:t>
            </w:r>
          </w:p>
        </w:tc>
        <w:tc>
          <w:tcPr>
            <w:tcW w:w="1134" w:type="dxa"/>
            <w:vAlign w:val="center"/>
          </w:tcPr>
          <w:p>
            <w:pPr>
              <w:pStyle w:val="11"/>
            </w:pPr>
            <w:r>
              <w:t>807131.29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797131.29</w:t>
            </w:r>
          </w:p>
        </w:tc>
        <w:tc>
          <w:tcPr>
            <w:tcW w:w="1134" w:type="dxa"/>
            <w:vAlign w:val="center"/>
          </w:tcPr>
          <w:p>
            <w:pPr>
              <w:pStyle w:val="11"/>
            </w:pPr>
            <w:r>
              <w:t>797131.29</w:t>
            </w:r>
          </w:p>
        </w:tc>
        <w:tc>
          <w:tcPr>
            <w:tcW w:w="1134" w:type="dxa"/>
            <w:vAlign w:val="center"/>
          </w:tcPr>
          <w:p>
            <w:pPr>
              <w:pStyle w:val="11"/>
            </w:pPr>
            <w:r>
              <w:t>797131.29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797131.29</w:t>
            </w:r>
          </w:p>
        </w:tc>
        <w:tc>
          <w:tcPr>
            <w:tcW w:w="1134" w:type="dxa"/>
            <w:vAlign w:val="center"/>
          </w:tcPr>
          <w:p>
            <w:pPr>
              <w:pStyle w:val="11"/>
            </w:pPr>
            <w:r>
              <w:t>797131.29</w:t>
            </w:r>
          </w:p>
        </w:tc>
        <w:tc>
          <w:tcPr>
            <w:tcW w:w="1134" w:type="dxa"/>
            <w:vAlign w:val="center"/>
          </w:tcPr>
          <w:p>
            <w:pPr>
              <w:pStyle w:val="11"/>
            </w:pPr>
            <w:r>
              <w:t>797131.29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21399</w:t>
            </w:r>
          </w:p>
        </w:tc>
        <w:tc>
          <w:tcPr>
            <w:tcW w:w="1559" w:type="dxa"/>
            <w:vAlign w:val="center"/>
          </w:tcPr>
          <w:p>
            <w:pPr>
              <w:pStyle w:val="12"/>
            </w:pPr>
            <w:r>
              <w:t>其他农林水支出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2139999</w:t>
            </w:r>
          </w:p>
        </w:tc>
        <w:tc>
          <w:tcPr>
            <w:tcW w:w="1559" w:type="dxa"/>
            <w:vAlign w:val="center"/>
          </w:tcPr>
          <w:p>
            <w:pPr>
              <w:pStyle w:val="12"/>
            </w:pPr>
            <w:r>
              <w:t>其他农林水支出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814131.29</w:t>
            </w:r>
          </w:p>
        </w:tc>
        <w:tc>
          <w:tcPr>
            <w:tcW w:w="1361" w:type="dxa"/>
            <w:vAlign w:val="center"/>
          </w:tcPr>
          <w:p>
            <w:pPr>
              <w:pStyle w:val="15"/>
            </w:pPr>
            <w:r>
              <w:t>797131.29</w:t>
            </w:r>
          </w:p>
        </w:tc>
        <w:tc>
          <w:tcPr>
            <w:tcW w:w="1361" w:type="dxa"/>
            <w:vAlign w:val="center"/>
          </w:tcPr>
          <w:p>
            <w:pPr>
              <w:pStyle w:val="15"/>
            </w:pPr>
            <w:r>
              <w:t>17000.00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r>
              <w:t>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807131.29</w:t>
            </w:r>
          </w:p>
        </w:tc>
        <w:tc>
          <w:tcPr>
            <w:tcW w:w="1361" w:type="dxa"/>
            <w:vAlign w:val="center"/>
          </w:tcPr>
          <w:p>
            <w:pPr>
              <w:pStyle w:val="11"/>
            </w:pPr>
            <w:r>
              <w:t>797131.29</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797131.29</w:t>
            </w:r>
          </w:p>
        </w:tc>
        <w:tc>
          <w:tcPr>
            <w:tcW w:w="1361" w:type="dxa"/>
            <w:vAlign w:val="center"/>
          </w:tcPr>
          <w:p>
            <w:pPr>
              <w:pStyle w:val="11"/>
            </w:pPr>
            <w:r>
              <w:t>797131.29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797131.29</w:t>
            </w:r>
          </w:p>
        </w:tc>
        <w:tc>
          <w:tcPr>
            <w:tcW w:w="1361" w:type="dxa"/>
            <w:vAlign w:val="center"/>
          </w:tcPr>
          <w:p>
            <w:pPr>
              <w:pStyle w:val="11"/>
            </w:pPr>
            <w:r>
              <w:t>797131.29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21399</w:t>
            </w:r>
          </w:p>
        </w:tc>
        <w:tc>
          <w:tcPr>
            <w:tcW w:w="4535" w:type="dxa"/>
            <w:vAlign w:val="center"/>
          </w:tcPr>
          <w:p>
            <w:pPr>
              <w:pStyle w:val="12"/>
            </w:pPr>
            <w:r>
              <w:t>其他农林水支出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2139999</w:t>
            </w:r>
          </w:p>
        </w:tc>
        <w:tc>
          <w:tcPr>
            <w:tcW w:w="4535" w:type="dxa"/>
            <w:vAlign w:val="center"/>
          </w:tcPr>
          <w:p>
            <w:pPr>
              <w:pStyle w:val="12"/>
            </w:pPr>
            <w:r>
              <w:t>其他农林水支出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814131.29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7000.00</w:t>
            </w:r>
          </w:p>
        </w:tc>
        <w:tc>
          <w:tcPr>
            <w:tcW w:w="1474" w:type="dxa"/>
            <w:vAlign w:val="center"/>
          </w:tcPr>
          <w:p>
            <w:pPr>
              <w:pStyle w:val="11"/>
            </w:pPr>
            <w:r>
              <w:t>7000.00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807131.29</w:t>
            </w:r>
          </w:p>
        </w:tc>
        <w:tc>
          <w:tcPr>
            <w:tcW w:w="1474" w:type="dxa"/>
            <w:vAlign w:val="center"/>
          </w:tcPr>
          <w:p>
            <w:pPr>
              <w:pStyle w:val="11"/>
            </w:pPr>
            <w:r>
              <w:t>807131.29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814131.29</w:t>
            </w:r>
          </w:p>
        </w:tc>
        <w:tc>
          <w:tcPr>
            <w:tcW w:w="3402" w:type="dxa"/>
            <w:vAlign w:val="center"/>
          </w:tcPr>
          <w:p>
            <w:pPr>
              <w:pStyle w:val="14"/>
            </w:pPr>
            <w:r>
              <w:t>本年支出合计</w:t>
            </w:r>
          </w:p>
        </w:tc>
        <w:tc>
          <w:tcPr>
            <w:tcW w:w="1474" w:type="dxa"/>
            <w:vAlign w:val="center"/>
          </w:tcPr>
          <w:p>
            <w:pPr>
              <w:pStyle w:val="15"/>
            </w:pPr>
            <w:r>
              <w:t>814131.29</w:t>
            </w:r>
          </w:p>
        </w:tc>
        <w:tc>
          <w:tcPr>
            <w:tcW w:w="1474" w:type="dxa"/>
            <w:vAlign w:val="center"/>
          </w:tcPr>
          <w:p>
            <w:pPr>
              <w:pStyle w:val="15"/>
            </w:pPr>
            <w:r>
              <w:t>814131.29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814131.29</w:t>
            </w:r>
          </w:p>
        </w:tc>
        <w:tc>
          <w:tcPr>
            <w:tcW w:w="3402" w:type="dxa"/>
            <w:vAlign w:val="center"/>
          </w:tcPr>
          <w:p>
            <w:pPr>
              <w:pStyle w:val="14"/>
            </w:pPr>
            <w:r>
              <w:t>支出总计</w:t>
            </w:r>
          </w:p>
        </w:tc>
        <w:tc>
          <w:tcPr>
            <w:tcW w:w="1474" w:type="dxa"/>
            <w:vAlign w:val="center"/>
          </w:tcPr>
          <w:p>
            <w:pPr>
              <w:pStyle w:val="15"/>
            </w:pPr>
            <w:r>
              <w:t>814131.29</w:t>
            </w:r>
          </w:p>
        </w:tc>
        <w:tc>
          <w:tcPr>
            <w:tcW w:w="1474" w:type="dxa"/>
            <w:vAlign w:val="center"/>
          </w:tcPr>
          <w:p>
            <w:pPr>
              <w:pStyle w:val="15"/>
            </w:pPr>
            <w:r>
              <w:t>814131.29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814131.29</w:t>
            </w:r>
          </w:p>
        </w:tc>
        <w:tc>
          <w:tcPr>
            <w:tcW w:w="2551" w:type="dxa"/>
            <w:vAlign w:val="center"/>
          </w:tcPr>
          <w:p>
            <w:pPr>
              <w:pStyle w:val="15"/>
            </w:pPr>
            <w:r>
              <w:t>797131.29</w:t>
            </w:r>
          </w:p>
        </w:tc>
        <w:tc>
          <w:tcPr>
            <w:tcW w:w="2551" w:type="dxa"/>
            <w:vAlign w:val="center"/>
          </w:tcPr>
          <w:p>
            <w:pPr>
              <w:pStyle w:val="15"/>
            </w:pPr>
            <w:r>
              <w:t>17000.00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807131.29</w:t>
            </w:r>
          </w:p>
        </w:tc>
        <w:tc>
          <w:tcPr>
            <w:tcW w:w="2551" w:type="dxa"/>
            <w:vAlign w:val="center"/>
          </w:tcPr>
          <w:p>
            <w:pPr>
              <w:pStyle w:val="11"/>
            </w:pPr>
            <w:r>
              <w:t>797131.29</w:t>
            </w: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797131.29</w:t>
            </w:r>
          </w:p>
        </w:tc>
        <w:tc>
          <w:tcPr>
            <w:tcW w:w="2551" w:type="dxa"/>
            <w:vAlign w:val="center"/>
          </w:tcPr>
          <w:p>
            <w:pPr>
              <w:pStyle w:val="11"/>
            </w:pPr>
            <w:r>
              <w:t>797131.29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797131.29</w:t>
            </w:r>
          </w:p>
        </w:tc>
        <w:tc>
          <w:tcPr>
            <w:tcW w:w="2551" w:type="dxa"/>
            <w:vAlign w:val="center"/>
          </w:tcPr>
          <w:p>
            <w:pPr>
              <w:pStyle w:val="11"/>
            </w:pPr>
            <w:r>
              <w:t>797131.29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21399</w:t>
            </w:r>
          </w:p>
        </w:tc>
        <w:tc>
          <w:tcPr>
            <w:tcW w:w="4535" w:type="dxa"/>
            <w:vAlign w:val="center"/>
          </w:tcPr>
          <w:p>
            <w:pPr>
              <w:pStyle w:val="12"/>
            </w:pPr>
            <w:r>
              <w:t>其他农林水支出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2139999</w:t>
            </w:r>
          </w:p>
        </w:tc>
        <w:tc>
          <w:tcPr>
            <w:tcW w:w="4535" w:type="dxa"/>
            <w:vAlign w:val="center"/>
          </w:tcPr>
          <w:p>
            <w:pPr>
              <w:pStyle w:val="12"/>
            </w:pPr>
            <w:r>
              <w:t>其他农林水支出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797131.29</w:t>
            </w:r>
          </w:p>
        </w:tc>
        <w:tc>
          <w:tcPr>
            <w:tcW w:w="2551" w:type="dxa"/>
            <w:vAlign w:val="center"/>
          </w:tcPr>
          <w:p>
            <w:pPr>
              <w:pStyle w:val="15"/>
            </w:pPr>
            <w:r>
              <w:t>756781.29</w:t>
            </w:r>
          </w:p>
        </w:tc>
        <w:tc>
          <w:tcPr>
            <w:tcW w:w="2551" w:type="dxa"/>
            <w:vAlign w:val="center"/>
          </w:tcPr>
          <w:p>
            <w:pPr>
              <w:pStyle w:val="15"/>
            </w:pPr>
            <w:r>
              <w:t>40350.00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678886.17</w:t>
            </w:r>
          </w:p>
        </w:tc>
        <w:tc>
          <w:tcPr>
            <w:tcW w:w="2551" w:type="dxa"/>
            <w:vAlign w:val="center"/>
          </w:tcPr>
          <w:p>
            <w:pPr>
              <w:pStyle w:val="11"/>
            </w:pPr>
            <w:r>
              <w:t>678886.17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264318.76</w:t>
            </w:r>
          </w:p>
        </w:tc>
        <w:tc>
          <w:tcPr>
            <w:tcW w:w="2551" w:type="dxa"/>
            <w:vAlign w:val="center"/>
          </w:tcPr>
          <w:p>
            <w:pPr>
              <w:pStyle w:val="11"/>
            </w:pPr>
            <w:r>
              <w:t>264318.76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18180.00</w:t>
            </w:r>
          </w:p>
        </w:tc>
        <w:tc>
          <w:tcPr>
            <w:tcW w:w="2551" w:type="dxa"/>
            <w:vAlign w:val="center"/>
          </w:tcPr>
          <w:p>
            <w:pPr>
              <w:pStyle w:val="11"/>
            </w:pPr>
            <w:r>
              <w:t>18180.00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176524.71</w:t>
            </w:r>
          </w:p>
        </w:tc>
        <w:tc>
          <w:tcPr>
            <w:tcW w:w="2551" w:type="dxa"/>
            <w:vAlign w:val="center"/>
          </w:tcPr>
          <w:p>
            <w:pPr>
              <w:pStyle w:val="11"/>
            </w:pPr>
            <w:r>
              <w:t>176524.71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67868.91</w:t>
            </w:r>
          </w:p>
        </w:tc>
        <w:tc>
          <w:tcPr>
            <w:tcW w:w="2551" w:type="dxa"/>
            <w:vAlign w:val="center"/>
          </w:tcPr>
          <w:p>
            <w:pPr>
              <w:pStyle w:val="11"/>
            </w:pPr>
            <w:r>
              <w:t>67868.91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60266.18</w:t>
            </w:r>
          </w:p>
        </w:tc>
        <w:tc>
          <w:tcPr>
            <w:tcW w:w="2551" w:type="dxa"/>
            <w:vAlign w:val="center"/>
          </w:tcPr>
          <w:p>
            <w:pPr>
              <w:pStyle w:val="11"/>
            </w:pPr>
            <w:r>
              <w:t>60266.18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31530.62</w:t>
            </w:r>
          </w:p>
        </w:tc>
        <w:tc>
          <w:tcPr>
            <w:tcW w:w="2551" w:type="dxa"/>
            <w:vAlign w:val="center"/>
          </w:tcPr>
          <w:p>
            <w:pPr>
              <w:pStyle w:val="11"/>
            </w:pPr>
            <w:r>
              <w:t>31530.62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7882.66</w:t>
            </w:r>
          </w:p>
        </w:tc>
        <w:tc>
          <w:tcPr>
            <w:tcW w:w="2551" w:type="dxa"/>
            <w:vAlign w:val="center"/>
          </w:tcPr>
          <w:p>
            <w:pPr>
              <w:pStyle w:val="11"/>
            </w:pPr>
            <w:r>
              <w:t>7882.66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52314.33</w:t>
            </w:r>
          </w:p>
        </w:tc>
        <w:tc>
          <w:tcPr>
            <w:tcW w:w="2551" w:type="dxa"/>
            <w:vAlign w:val="center"/>
          </w:tcPr>
          <w:p>
            <w:pPr>
              <w:pStyle w:val="11"/>
            </w:pPr>
            <w:r>
              <w:t>52314.33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40350.00</w:t>
            </w:r>
          </w:p>
        </w:tc>
        <w:tc>
          <w:tcPr>
            <w:tcW w:w="2551" w:type="dxa"/>
            <w:vAlign w:val="center"/>
          </w:tcPr>
          <w:p>
            <w:pPr>
              <w:pStyle w:val="11"/>
            </w:pPr>
          </w:p>
        </w:tc>
        <w:tc>
          <w:tcPr>
            <w:tcW w:w="2551" w:type="dxa"/>
            <w:vAlign w:val="center"/>
          </w:tcPr>
          <w:p>
            <w:pPr>
              <w:pStyle w:val="11"/>
            </w:pPr>
            <w:r>
              <w:t>40350.00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6750.00</w:t>
            </w:r>
          </w:p>
        </w:tc>
        <w:tc>
          <w:tcPr>
            <w:tcW w:w="2551" w:type="dxa"/>
            <w:vAlign w:val="center"/>
          </w:tcPr>
          <w:p>
            <w:pPr>
              <w:pStyle w:val="11"/>
            </w:pPr>
          </w:p>
        </w:tc>
        <w:tc>
          <w:tcPr>
            <w:tcW w:w="2551" w:type="dxa"/>
            <w:vAlign w:val="center"/>
          </w:tcPr>
          <w:p>
            <w:pPr>
              <w:pStyle w:val="11"/>
            </w:pPr>
            <w:r>
              <w:t>6750.00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77895.12</w:t>
            </w:r>
          </w:p>
        </w:tc>
        <w:tc>
          <w:tcPr>
            <w:tcW w:w="2551" w:type="dxa"/>
            <w:vAlign w:val="center"/>
          </w:tcPr>
          <w:p>
            <w:pPr>
              <w:pStyle w:val="11"/>
            </w:pPr>
            <w:r>
              <w:t>77895.12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77895.12</w:t>
            </w:r>
          </w:p>
        </w:tc>
        <w:tc>
          <w:tcPr>
            <w:tcW w:w="2551" w:type="dxa"/>
            <w:vAlign w:val="center"/>
          </w:tcPr>
          <w:p>
            <w:pPr>
              <w:pStyle w:val="11"/>
            </w:pPr>
            <w:r>
              <w:t>77895.12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中央农业广播电视学校玉田分校本级2025年单位预算信息公开情况说明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按照《中华人民共和国预算法》、《地方预决算公开操作规程》和《关于进一步推进预算公开工作的实施意见》规定，现将中央农业广播电视学校玉田分校本级2025年单位预算公开如下：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一、单位职责</w:t>
      </w:r>
    </w:p>
    <w:p>
      <w:pPr>
        <w:pStyle w:val="17"/>
      </w:pPr>
      <w:r>
        <w:t>主要职责是：坚持“三个面向”（面向农村、面向基层、面向农业）；“四个服务”（即为农业和科教兴农服务、为农村社会经济建设服务、为农民科技致富服务、为农村物质精神文明建设服务）的办学宗旨。为农村培养现代专业技术人才和管理人才。具体承担中等学历教育、合作高等学历教育、农村实用技术培训和绿色证书工程、青年农民培训等任务；负责高素质农民科技培训，通过培训全面提高农民科技文化素质和生产技术水平。负责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中央农业广播电视学校玉田分校本级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22"/>
      </w:pPr>
      <w:r>
        <w:t>反映本</w:t>
      </w:r>
      <w:r>
        <w:rPr>
          <w:rFonts w:hint="eastAsia"/>
          <w:lang w:val="en-US" w:eastAsia="zh-CN"/>
        </w:rPr>
        <w:t>单位</w:t>
      </w:r>
      <w:r>
        <w:t>当年全部收入。2025年预算收入814131.29</w:t>
      </w:r>
      <w:r>
        <w:rPr>
          <w:rFonts w:hint="eastAsia"/>
          <w:lang w:eastAsia="zh-CN"/>
        </w:rPr>
        <w:t>元</w:t>
      </w:r>
      <w:r>
        <w:t>，其中：一般公共预算收入814131.29</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8"/>
      </w:pPr>
      <w:r>
        <w:t>2、支出说明</w:t>
      </w:r>
    </w:p>
    <w:p>
      <w:pPr>
        <w:pStyle w:val="22"/>
      </w:pPr>
      <w:r>
        <w:t>收支预算总表支出栏、基本支出表、项目支出表按经济分类和支出功能分类科目编制，反映中央农业广播电视学校玉田分校年度</w:t>
      </w:r>
      <w:r>
        <w:rPr>
          <w:rFonts w:hint="eastAsia"/>
          <w:lang w:val="en-US" w:eastAsia="zh-CN"/>
        </w:rPr>
        <w:t>单位</w:t>
      </w:r>
      <w:r>
        <w:t>预算中支出预算的总体情况。2025年支出预算814131.29</w:t>
      </w:r>
      <w:r>
        <w:rPr>
          <w:rFonts w:hint="eastAsia"/>
          <w:lang w:eastAsia="zh-CN"/>
        </w:rPr>
        <w:t>元</w:t>
      </w:r>
      <w:r>
        <w:t>，其中基本支出797131.29</w:t>
      </w:r>
      <w:r>
        <w:rPr>
          <w:rFonts w:hint="eastAsia"/>
          <w:lang w:eastAsia="zh-CN"/>
        </w:rPr>
        <w:t>元</w:t>
      </w:r>
      <w:r>
        <w:t>，包括人员经费756781.29</w:t>
      </w:r>
      <w:r>
        <w:rPr>
          <w:rFonts w:hint="eastAsia"/>
          <w:lang w:eastAsia="zh-CN"/>
        </w:rPr>
        <w:t>元</w:t>
      </w:r>
      <w:r>
        <w:t>和日常公用经费40350.00元；项目支出17000.00</w:t>
      </w:r>
      <w:r>
        <w:rPr>
          <w:rFonts w:hint="eastAsia"/>
          <w:lang w:eastAsia="zh-CN"/>
        </w:rPr>
        <w:t>元</w:t>
      </w:r>
      <w:r>
        <w:t>，主要为农民科技教育费支出10000元，残疾人保障金7000元。</w:t>
      </w:r>
    </w:p>
    <w:p>
      <w:pPr>
        <w:pStyle w:val="18"/>
      </w:pPr>
      <w:r>
        <w:t>3、比上年增减情况</w:t>
      </w:r>
    </w:p>
    <w:p>
      <w:pPr>
        <w:pStyle w:val="22"/>
      </w:pPr>
      <w:r>
        <w:t>2025年预算收支安排814131.29</w:t>
      </w:r>
      <w:r>
        <w:rPr>
          <w:rFonts w:hint="eastAsia"/>
          <w:lang w:eastAsia="zh-CN"/>
        </w:rPr>
        <w:t>元</w:t>
      </w:r>
      <w:r>
        <w:t>，较2024年预算减少170466.49</w:t>
      </w:r>
      <w:r>
        <w:rPr>
          <w:rFonts w:hint="eastAsia"/>
          <w:lang w:eastAsia="zh-CN"/>
        </w:rPr>
        <w:t>元</w:t>
      </w:r>
      <w:r>
        <w:t>，其中：基本支出减少177466.49</w:t>
      </w:r>
      <w:r>
        <w:rPr>
          <w:rFonts w:hint="eastAsia"/>
          <w:lang w:eastAsia="zh-CN"/>
        </w:rPr>
        <w:t>元</w:t>
      </w:r>
      <w:r>
        <w:t>，主要为人员和公用经费减少。项目支出增加7000.00</w:t>
      </w:r>
      <w:r>
        <w:rPr>
          <w:rFonts w:hint="eastAsia"/>
          <w:lang w:eastAsia="zh-CN"/>
        </w:rPr>
        <w:t>元</w:t>
      </w:r>
      <w:r>
        <w:t>，主要为残疾人</w:t>
      </w:r>
      <w:r>
        <w:rPr>
          <w:rFonts w:hint="eastAsia"/>
          <w:lang w:val="en-US" w:eastAsia="zh-CN"/>
        </w:rPr>
        <w:t>就业</w:t>
      </w:r>
      <w:r>
        <w:t>保障金。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机关运行经费共计安排40350.00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w:t>
      </w:r>
      <w:r>
        <w:rPr>
          <w:rFonts w:hint="eastAsia" w:eastAsia="方正仿宋_GBK" w:cs="Times New Roman"/>
          <w:sz w:val="28"/>
          <w:szCs w:val="24"/>
          <w:lang w:val="en-US" w:eastAsia="zh-CN" w:bidi="ar-SA"/>
        </w:rPr>
        <w:t>单位</w:t>
      </w:r>
      <w:bookmarkStart w:id="1" w:name="_GoBack"/>
      <w:bookmarkEnd w:id="1"/>
      <w:r>
        <w:rPr>
          <w:rFonts w:ascii="Times New Roman" w:hAnsi="Times New Roman" w:eastAsia="方正仿宋_GBK" w:cs="Times New Roman"/>
          <w:sz w:val="28"/>
          <w:szCs w:val="24"/>
          <w:lang w:val="en-US" w:eastAsia="uk-UA" w:bidi="ar-SA"/>
        </w:rPr>
        <w:t>财政拨款“三公”经费预算安排0.00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，其中因公出国（境）费0.00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；公务用车购置及运维费0.00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（其中：公务用车购置费为0.00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，公务用车运维费0.00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)；公务接待费0.00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。与2024年相比增加0.00</w:t>
      </w:r>
      <w:r>
        <w:rPr>
          <w:rFonts w:hint="eastAsia" w:ascii="Times New Roman" w:hAnsi="Times New Roman" w:eastAsia="方正仿宋_GBK" w:cs="Times New Roman"/>
          <w:sz w:val="28"/>
          <w:szCs w:val="24"/>
          <w:lang w:val="en-US" w:eastAsia="zh-CN" w:bidi="ar-SA"/>
        </w:rPr>
        <w:t>元</w:t>
      </w:r>
      <w:r>
        <w:rPr>
          <w:rFonts w:ascii="Times New Roman" w:hAnsi="Times New Roman" w:eastAsia="方正仿宋_GBK" w:cs="Times New Roman"/>
          <w:sz w:val="28"/>
          <w:szCs w:val="24"/>
          <w:lang w:val="en-US" w:eastAsia="uk-UA" w:bidi="ar-SA"/>
        </w:rPr>
        <w:t>，增减变化的主要原因是与上年度持平。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13022925P00JXC4196937</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w:t>
            </w:r>
          </w:p>
        </w:tc>
        <w:tc>
          <w:tcPr>
            <w:tcW w:w="2835" w:type="dxa"/>
            <w:vAlign w:val="center"/>
          </w:tcPr>
          <w:p>
            <w:pPr>
              <w:pStyle w:val="10"/>
            </w:pPr>
            <w:r>
              <w:t>其中：财政    资金</w:t>
            </w:r>
          </w:p>
        </w:tc>
        <w:tc>
          <w:tcPr>
            <w:tcW w:w="2551" w:type="dxa"/>
            <w:vAlign w:val="center"/>
          </w:tcPr>
          <w:p>
            <w:pPr>
              <w:pStyle w:val="12"/>
            </w:pPr>
            <w:r>
              <w:t>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1.按要求全额支付残疾人保障金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按期完成情况</w:t>
            </w:r>
          </w:p>
        </w:tc>
        <w:tc>
          <w:tcPr>
            <w:tcW w:w="5386" w:type="dxa"/>
            <w:vAlign w:val="center"/>
          </w:tcPr>
          <w:p>
            <w:pPr>
              <w:pStyle w:val="12"/>
            </w:pPr>
            <w:r>
              <w:t>按期完成情况</w:t>
            </w:r>
          </w:p>
        </w:tc>
        <w:tc>
          <w:tcPr>
            <w:tcW w:w="2268" w:type="dxa"/>
            <w:vAlign w:val="center"/>
          </w:tcPr>
          <w:p>
            <w:pPr>
              <w:pStyle w:val="12"/>
            </w:pPr>
            <w:r>
              <w:t>100%</w:t>
            </w:r>
          </w:p>
        </w:tc>
        <w:tc>
          <w:tcPr>
            <w:tcW w:w="1276" w:type="dxa"/>
            <w:vAlign w:val="center"/>
          </w:tcPr>
          <w:p>
            <w:pPr>
              <w:pStyle w:val="12"/>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w:t>
            </w:r>
          </w:p>
        </w:tc>
        <w:tc>
          <w:tcPr>
            <w:tcW w:w="1276" w:type="dxa"/>
            <w:vAlign w:val="center"/>
          </w:tcPr>
          <w:p>
            <w:pPr>
              <w:pStyle w:val="12"/>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社会影响</w:t>
            </w:r>
          </w:p>
        </w:tc>
        <w:tc>
          <w:tcPr>
            <w:tcW w:w="2268" w:type="dxa"/>
            <w:vAlign w:val="center"/>
          </w:tcPr>
          <w:p>
            <w:pPr>
              <w:pStyle w:val="12"/>
            </w:pPr>
            <w:r>
              <w:t>100%</w:t>
            </w:r>
          </w:p>
        </w:tc>
        <w:tc>
          <w:tcPr>
            <w:tcW w:w="1276" w:type="dxa"/>
            <w:vAlign w:val="center"/>
          </w:tcPr>
          <w:p>
            <w:pPr>
              <w:pStyle w:val="12"/>
            </w:pPr>
            <w:r>
              <w:t>按财政预算要求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95%</w:t>
            </w:r>
          </w:p>
        </w:tc>
        <w:tc>
          <w:tcPr>
            <w:tcW w:w="1276" w:type="dxa"/>
            <w:vAlign w:val="center"/>
          </w:tcPr>
          <w:p>
            <w:pPr>
              <w:pStyle w:val="12"/>
            </w:pPr>
            <w:r>
              <w:t>按财政预算要求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2、农民科技教育费绩效目标表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13022925P00JXC410349R</w:t>
            </w:r>
          </w:p>
        </w:tc>
        <w:tc>
          <w:tcPr>
            <w:tcW w:w="2835" w:type="dxa"/>
            <w:vAlign w:val="center"/>
          </w:tcPr>
          <w:p>
            <w:pPr>
              <w:pStyle w:val="10"/>
            </w:pPr>
            <w:r>
              <w:t>项目名称</w:t>
            </w:r>
          </w:p>
        </w:tc>
        <w:tc>
          <w:tcPr>
            <w:tcW w:w="6095" w:type="dxa"/>
            <w:gridSpan w:val="3"/>
            <w:vAlign w:val="center"/>
          </w:tcPr>
          <w:p>
            <w:pPr>
              <w:pStyle w:val="12"/>
            </w:pPr>
            <w:r>
              <w:t>农民科技教育费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农民科技教育费用支出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1.通过课堂教学、田间或现场初衷确保农民掌握科技新知识并具备实践操作能力，通过 在线视频及广播等形式扩大农业科技新知识培训范围。</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培训人次</w:t>
            </w:r>
          </w:p>
        </w:tc>
        <w:tc>
          <w:tcPr>
            <w:tcW w:w="5386" w:type="dxa"/>
            <w:vAlign w:val="center"/>
          </w:tcPr>
          <w:p>
            <w:pPr>
              <w:pStyle w:val="12"/>
            </w:pPr>
            <w:r>
              <w:t>课堂、田间及线上培训人数</w:t>
            </w:r>
          </w:p>
        </w:tc>
        <w:tc>
          <w:tcPr>
            <w:tcW w:w="2268" w:type="dxa"/>
            <w:vAlign w:val="center"/>
          </w:tcPr>
          <w:p>
            <w:pPr>
              <w:pStyle w:val="12"/>
            </w:pPr>
            <w:r>
              <w:t>≥100人次</w:t>
            </w:r>
          </w:p>
        </w:tc>
        <w:tc>
          <w:tcPr>
            <w:tcW w:w="1276" w:type="dxa"/>
            <w:vAlign w:val="center"/>
          </w:tcPr>
          <w:p>
            <w:pPr>
              <w:pStyle w:val="12"/>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培训质量</w:t>
            </w:r>
          </w:p>
        </w:tc>
        <w:tc>
          <w:tcPr>
            <w:tcW w:w="5386" w:type="dxa"/>
            <w:vAlign w:val="center"/>
          </w:tcPr>
          <w:p>
            <w:pPr>
              <w:pStyle w:val="12"/>
            </w:pPr>
            <w:r>
              <w:t>参训农民掌握新技术、应用新机具等</w:t>
            </w:r>
          </w:p>
        </w:tc>
        <w:tc>
          <w:tcPr>
            <w:tcW w:w="2268" w:type="dxa"/>
            <w:vAlign w:val="center"/>
          </w:tcPr>
          <w:p>
            <w:pPr>
              <w:pStyle w:val="12"/>
            </w:pPr>
            <w:r>
              <w:t>≥95%</w:t>
            </w:r>
          </w:p>
        </w:tc>
        <w:tc>
          <w:tcPr>
            <w:tcW w:w="1276" w:type="dxa"/>
            <w:vAlign w:val="center"/>
          </w:tcPr>
          <w:p>
            <w:pPr>
              <w:pStyle w:val="12"/>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完成年度任务</w:t>
            </w:r>
          </w:p>
        </w:tc>
        <w:tc>
          <w:tcPr>
            <w:tcW w:w="5386" w:type="dxa"/>
            <w:vAlign w:val="center"/>
          </w:tcPr>
          <w:p>
            <w:pPr>
              <w:pStyle w:val="12"/>
            </w:pPr>
            <w:r>
              <w:t>按期完成</w:t>
            </w:r>
          </w:p>
        </w:tc>
        <w:tc>
          <w:tcPr>
            <w:tcW w:w="2268" w:type="dxa"/>
            <w:vAlign w:val="center"/>
          </w:tcPr>
          <w:p>
            <w:pPr>
              <w:pStyle w:val="12"/>
            </w:pPr>
            <w:r>
              <w:t>100%</w:t>
            </w:r>
          </w:p>
        </w:tc>
        <w:tc>
          <w:tcPr>
            <w:tcW w:w="1276" w:type="dxa"/>
            <w:vAlign w:val="center"/>
          </w:tcPr>
          <w:p>
            <w:pPr>
              <w:pStyle w:val="12"/>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 xml:space="preserve">1万元 </w:t>
            </w:r>
          </w:p>
        </w:tc>
        <w:tc>
          <w:tcPr>
            <w:tcW w:w="1276" w:type="dxa"/>
            <w:vAlign w:val="center"/>
          </w:tcPr>
          <w:p>
            <w:pPr>
              <w:pStyle w:val="12"/>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宣传农业政策，推广农业 技术，提升科技文化素质</w:t>
            </w:r>
          </w:p>
        </w:tc>
        <w:tc>
          <w:tcPr>
            <w:tcW w:w="5386" w:type="dxa"/>
            <w:vAlign w:val="center"/>
          </w:tcPr>
          <w:p>
            <w:pPr>
              <w:pStyle w:val="12"/>
            </w:pPr>
            <w:r>
              <w:t>课堂教学、田间实训和线上视频发布等方式全面提高农民科技文化素质</w:t>
            </w:r>
          </w:p>
        </w:tc>
        <w:tc>
          <w:tcPr>
            <w:tcW w:w="2268" w:type="dxa"/>
            <w:vAlign w:val="center"/>
          </w:tcPr>
          <w:p>
            <w:pPr>
              <w:pStyle w:val="12"/>
            </w:pPr>
            <w:r>
              <w:t>≥90%</w:t>
            </w:r>
          </w:p>
        </w:tc>
        <w:tc>
          <w:tcPr>
            <w:tcW w:w="1276" w:type="dxa"/>
            <w:vAlign w:val="center"/>
          </w:tcPr>
          <w:p>
            <w:pPr>
              <w:pStyle w:val="12"/>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提高综合素质和技术水平、增强环保意识 </w:t>
            </w:r>
          </w:p>
        </w:tc>
        <w:tc>
          <w:tcPr>
            <w:tcW w:w="5386" w:type="dxa"/>
            <w:vAlign w:val="center"/>
          </w:tcPr>
          <w:p>
            <w:pPr>
              <w:pStyle w:val="12"/>
            </w:pPr>
            <w:r>
              <w:t>提高生态保护意识，注重农业生态保护</w:t>
            </w:r>
          </w:p>
        </w:tc>
        <w:tc>
          <w:tcPr>
            <w:tcW w:w="2268" w:type="dxa"/>
            <w:vAlign w:val="center"/>
          </w:tcPr>
          <w:p>
            <w:pPr>
              <w:pStyle w:val="12"/>
            </w:pPr>
            <w:r>
              <w:t>≥90%</w:t>
            </w:r>
          </w:p>
        </w:tc>
        <w:tc>
          <w:tcPr>
            <w:tcW w:w="1276" w:type="dxa"/>
            <w:vAlign w:val="center"/>
          </w:tcPr>
          <w:p>
            <w:pPr>
              <w:pStyle w:val="12"/>
            </w:pPr>
            <w:r>
              <w:t>预算目标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预算目标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中央农业广播电视学校玉田分校本级上年末固定资产金额为8415.37万元（详见下表）。本年度拟购置固定资产总额为0.00万元，已按要求列入政府采购预算，详见政府采购预算表。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328001中央农业广播电视学校玉田分校本级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8415.37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24</w:t>
            </w:r>
          </w:p>
        </w:tc>
        <w:tc>
          <w:tcPr>
            <w:tcW w:w="2835" w:type="dxa"/>
            <w:vAlign w:val="center"/>
          </w:tcPr>
          <w:p>
            <w:pPr>
              <w:pStyle w:val="11"/>
            </w:pPr>
            <w:r>
              <w:t>8415.37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8F23B3"/>
    <w:rsid w:val="5FF16D80"/>
    <w:rsid w:val="6EA0643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2</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2025-01-20T18:29:00Z</dcterms:created>
  <dc:creator>le</dc:creator>
  <cp:lastModifiedBy>le</cp:lastModifiedBy>
  <dcterms:modified xsi:type="dcterms:W3CDTF">2025-01-24T02:24:01Z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A941D37F4F0342E0883FFA1EBDB67C69</vt:lpwstr>
  </property>
</Properties>
</file>