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玉田县农业机械化技术学校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玉田县农业机械化技术学校编制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我单位为县农业农村局所属公益二类事业单位，机构规格相当于正股级。核定事业编制14名，其中设常务副校长1名（正股级），副校长2名（副股级）。经费形式为财政性资金基本保证。</w:t>
      </w:r>
    </w:p>
    <w:p>
      <w:pPr>
        <w:pStyle w:val="7"/>
      </w:pPr>
      <w:r>
        <w:t>我单位主要职责是：负责县乡两级农机化培训工作；大、中、小型拖拉机驾驶员培训；农村动力排灌机械、农田动力机械、联合收割机操作人员培训；拖拉机、农用运输车、农机具维修工培训；农民机械技术员培训；农机农田作业新技术推广培训；负责农业机械化技术咨询、信息交流及新技术的应用工作。</w:t>
      </w:r>
    </w:p>
    <w:p>
      <w:pPr>
        <w:pStyle w:val="7"/>
      </w:pPr>
      <w:r>
        <w:t>202</w:t>
      </w:r>
      <w:r>
        <w:rPr>
          <w:rFonts w:hint="default"/>
          <w:lang w:val="en-US"/>
        </w:rPr>
        <w:t>5</w:t>
      </w:r>
      <w:r>
        <w:t>年组织农业机械安全培训，保障作业安全。为了提高农业机械作业技术，保障机械作业安全，采用多媒体教学技术，以培训专业知识为主，实际操作与理论相结合，严要求，保质保量。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（一）农机培训</w:t>
      </w:r>
    </w:p>
    <w:p>
      <w:pPr>
        <w:pStyle w:val="8"/>
      </w:pPr>
      <w:r>
        <w:t>绩效目标：组织农业机械安全培训，保障作业安全。</w:t>
      </w:r>
    </w:p>
    <w:p>
      <w:pPr>
        <w:pStyle w:val="8"/>
      </w:pPr>
      <w:r>
        <w:t>绩效指标：参加培训学员及格率要求达98%以上。</w:t>
      </w:r>
    </w:p>
    <w:p>
      <w:pPr>
        <w:pStyle w:val="8"/>
      </w:pPr>
      <w:r>
        <w:t>（二）高素质农民培训</w:t>
      </w:r>
    </w:p>
    <w:p>
      <w:pPr>
        <w:pStyle w:val="8"/>
      </w:pPr>
      <w:r>
        <w:t>绩效目标：计划202</w:t>
      </w:r>
      <w:r>
        <w:rPr>
          <w:rFonts w:hint="default"/>
          <w:lang w:val="en-US"/>
        </w:rPr>
        <w:t>5</w:t>
      </w:r>
      <w:bookmarkStart w:id="3" w:name="_GoBack"/>
      <w:bookmarkEnd w:id="3"/>
      <w:r>
        <w:t>年继续完成农业农村局下达的高素质农民培育工程任务目标</w:t>
      </w:r>
    </w:p>
    <w:p>
      <w:pPr>
        <w:pStyle w:val="8"/>
      </w:pPr>
      <w:r>
        <w:t>绩效指标：参训农民获得证书率为100%</w:t>
      </w:r>
    </w:p>
    <w:p>
      <w:pPr>
        <w:pStyle w:val="8"/>
      </w:pPr>
      <w:r>
        <w:t>（三）财务监管，杜绝不合理开支</w:t>
      </w:r>
    </w:p>
    <w:p>
      <w:pPr>
        <w:pStyle w:val="8"/>
      </w:pPr>
      <w:r>
        <w:t>绩效目标：严格按照财务规章制度做好各项收支，加强财务监管，杜绝不合理开支。</w:t>
      </w:r>
    </w:p>
    <w:p>
      <w:pPr>
        <w:pStyle w:val="8"/>
      </w:pPr>
      <w:r>
        <w:t>绩效指标：阶段性自查自纠，确保资金使用合规、合法。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（一）、完善制度建设。制定完善预算绩效管理制度、资金管理办法、工作保障制度等，为全年预算绩效目标的实现奠定制度基础。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（二）、加强支出管理。通过优化支出结构、编细编实预算、加快履行政府采购手续、尽快启动项目、及时支付资金、6月底前细化代编预算、按规定及时下达资金等多种措施，确保支出进度达标。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9"/>
      </w:pPr>
      <w:r>
        <w:t>（三）、加强绩效运行监控。按要求开展绩效运行监控，发现问题及时采取措施，确保绩效目标如期保质实现。</w:t>
      </w:r>
    </w:p>
    <w:p>
      <w:pPr>
        <w:pStyle w:val="9"/>
      </w:pPr>
      <w:r>
        <w:t>（四）、做好绩效自评。按要求开展上年度部门预算绩效自评和重点评价工作，对评价中发现的问题及时整改，调整优化支出结构，提高财政资金使用效益。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（五）、规范财务资产管理。完善财务管理制度，严格审批程序，加强固定资产登记、使用和报废处置管理，做到支出合理，物尽其用。</w:t>
      </w:r>
    </w:p>
    <w:p>
      <w:pPr>
        <w:pStyle w:val="9"/>
      </w:pPr>
      <w:r>
        <w:t>（六）、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</w:pPr>
      <w:r>
        <w:t>（七）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sectPr>
      <w:pgSz w:w="11900" w:h="16840"/>
      <w:pgMar w:top="1984" w:right="1304" w:bottom="1134" w:left="130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3C3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2025-01-17T18:14:00Z</dcterms:created>
  <dc:creator>Administrator</dc:creator>
  <cp:lastModifiedBy>徐会杰</cp:lastModifiedBy>
  <dcterms:modified xsi:type="dcterms:W3CDTF">2025-01-24T02:53:23Z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751AEF215C0743DD9CA45021DBBDCBC5</vt:lpwstr>
  </property>
</Properties>
</file>