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一、玉田县司法局本级收支预算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315001玉田县司法局本级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12450440.33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13616440.33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12450440.33</w:t>
            </w:r>
          </w:p>
        </w:tc>
        <w:tc>
          <w:tcPr>
            <w:tcW w:w="4535" w:type="dxa"/>
            <w:vAlign w:val="center"/>
          </w:tcPr>
          <w:p>
            <w:pPr>
              <w:pStyle w:val="14"/>
            </w:pPr>
            <w:r>
              <w:t>本年支出合计</w:t>
            </w:r>
          </w:p>
        </w:tc>
        <w:tc>
          <w:tcPr>
            <w:tcW w:w="2126" w:type="dxa"/>
            <w:vAlign w:val="center"/>
          </w:tcPr>
          <w:p>
            <w:pPr>
              <w:pStyle w:val="15"/>
            </w:pPr>
            <w:r>
              <w:t>13693440.33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1243000.00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13693440.33</w:t>
            </w:r>
          </w:p>
        </w:tc>
        <w:tc>
          <w:tcPr>
            <w:tcW w:w="4535" w:type="dxa"/>
            <w:vAlign w:val="center"/>
          </w:tcPr>
          <w:p>
            <w:pPr>
              <w:pStyle w:val="14"/>
            </w:pPr>
            <w:r>
              <w:t>支出总计</w:t>
            </w:r>
          </w:p>
        </w:tc>
        <w:tc>
          <w:tcPr>
            <w:tcW w:w="2126" w:type="dxa"/>
            <w:vAlign w:val="center"/>
          </w:tcPr>
          <w:p>
            <w:pPr>
              <w:pStyle w:val="15"/>
            </w:pPr>
            <w:r>
              <w:t>13693440.33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315001玉田县司法局本级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13693440.33</w:t>
            </w:r>
          </w:p>
        </w:tc>
        <w:tc>
          <w:tcPr>
            <w:tcW w:w="1134" w:type="dxa"/>
            <w:vAlign w:val="center"/>
          </w:tcPr>
          <w:p>
            <w:pPr>
              <w:pStyle w:val="15"/>
            </w:pPr>
            <w:r>
              <w:t>12450440.33</w:t>
            </w:r>
          </w:p>
        </w:tc>
        <w:tc>
          <w:tcPr>
            <w:tcW w:w="1134" w:type="dxa"/>
            <w:vAlign w:val="center"/>
          </w:tcPr>
          <w:p>
            <w:pPr>
              <w:pStyle w:val="15"/>
            </w:pPr>
            <w:r>
              <w:t>12450440.33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13616440.33</w:t>
            </w:r>
          </w:p>
        </w:tc>
        <w:tc>
          <w:tcPr>
            <w:tcW w:w="1134" w:type="dxa"/>
            <w:vAlign w:val="center"/>
          </w:tcPr>
          <w:p>
            <w:pPr>
              <w:pStyle w:val="11"/>
            </w:pPr>
            <w:r>
              <w:t>12373440.33</w:t>
            </w:r>
          </w:p>
        </w:tc>
        <w:tc>
          <w:tcPr>
            <w:tcW w:w="1134" w:type="dxa"/>
            <w:vAlign w:val="center"/>
          </w:tcPr>
          <w:p>
            <w:pPr>
              <w:pStyle w:val="11"/>
            </w:pPr>
            <w:r>
              <w:t>12373440.33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13616440.33</w:t>
            </w:r>
          </w:p>
        </w:tc>
        <w:tc>
          <w:tcPr>
            <w:tcW w:w="1134" w:type="dxa"/>
            <w:vAlign w:val="center"/>
          </w:tcPr>
          <w:p>
            <w:pPr>
              <w:pStyle w:val="11"/>
            </w:pPr>
            <w:r>
              <w:t>12373440.33</w:t>
            </w:r>
          </w:p>
        </w:tc>
        <w:tc>
          <w:tcPr>
            <w:tcW w:w="1134" w:type="dxa"/>
            <w:vAlign w:val="center"/>
          </w:tcPr>
          <w:p>
            <w:pPr>
              <w:pStyle w:val="11"/>
            </w:pPr>
            <w:r>
              <w:t>12373440.33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9404152.49</w:t>
            </w:r>
          </w:p>
        </w:tc>
        <w:tc>
          <w:tcPr>
            <w:tcW w:w="1134" w:type="dxa"/>
            <w:vAlign w:val="center"/>
          </w:tcPr>
          <w:p>
            <w:pPr>
              <w:pStyle w:val="11"/>
            </w:pPr>
            <w:r>
              <w:t>9404152.49</w:t>
            </w:r>
          </w:p>
        </w:tc>
        <w:tc>
          <w:tcPr>
            <w:tcW w:w="1134" w:type="dxa"/>
            <w:vAlign w:val="center"/>
          </w:tcPr>
          <w:p>
            <w:pPr>
              <w:pStyle w:val="11"/>
            </w:pPr>
            <w:r>
              <w:t>9404152.49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506000.00</w:t>
            </w:r>
          </w:p>
        </w:tc>
        <w:tc>
          <w:tcPr>
            <w:tcW w:w="1134" w:type="dxa"/>
            <w:vAlign w:val="center"/>
          </w:tcPr>
          <w:p>
            <w:pPr>
              <w:pStyle w:val="11"/>
            </w:pPr>
            <w:r>
              <w:t>283000.00</w:t>
            </w:r>
          </w:p>
        </w:tc>
        <w:tc>
          <w:tcPr>
            <w:tcW w:w="1134" w:type="dxa"/>
            <w:vAlign w:val="center"/>
          </w:tcPr>
          <w:p>
            <w:pPr>
              <w:pStyle w:val="11"/>
            </w:pPr>
            <w:r>
              <w:t>283000.00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440000.00</w:t>
            </w:r>
          </w:p>
        </w:tc>
        <w:tc>
          <w:tcPr>
            <w:tcW w:w="1134" w:type="dxa"/>
            <w:vAlign w:val="center"/>
          </w:tcPr>
          <w:p>
            <w:pPr>
              <w:pStyle w:val="11"/>
            </w:pPr>
            <w:r>
              <w:t>180000.00</w:t>
            </w:r>
          </w:p>
        </w:tc>
        <w:tc>
          <w:tcPr>
            <w:tcW w:w="1134" w:type="dxa"/>
            <w:vAlign w:val="center"/>
          </w:tcPr>
          <w:p>
            <w:pPr>
              <w:pStyle w:val="11"/>
            </w:pPr>
            <w:r>
              <w:t>180000.00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59900.00</w:t>
            </w:r>
          </w:p>
        </w:tc>
        <w:tc>
          <w:tcPr>
            <w:tcW w:w="1134" w:type="dxa"/>
            <w:vAlign w:val="center"/>
          </w:tcPr>
          <w:p>
            <w:pPr>
              <w:pStyle w:val="11"/>
            </w:pPr>
            <w:r>
              <w:t>59900.00</w:t>
            </w:r>
          </w:p>
        </w:tc>
        <w:tc>
          <w:tcPr>
            <w:tcW w:w="1134" w:type="dxa"/>
            <w:vAlign w:val="center"/>
          </w:tcPr>
          <w:p>
            <w:pPr>
              <w:pStyle w:val="11"/>
            </w:pPr>
            <w:r>
              <w:t>59900.00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1"/>
            </w:pPr>
            <w:r>
              <w:t>25000.00</w:t>
            </w:r>
          </w:p>
        </w:tc>
        <w:tc>
          <w:tcPr>
            <w:tcW w:w="1134" w:type="dxa"/>
            <w:vAlign w:val="center"/>
          </w:tcPr>
          <w:p>
            <w:pPr>
              <w:pStyle w:val="11"/>
            </w:pPr>
            <w:r>
              <w:t>25000.00</w:t>
            </w:r>
          </w:p>
        </w:tc>
        <w:tc>
          <w:tcPr>
            <w:tcW w:w="1134" w:type="dxa"/>
            <w:vAlign w:val="center"/>
          </w:tcPr>
          <w:p>
            <w:pPr>
              <w:pStyle w:val="11"/>
            </w:pPr>
            <w:r>
              <w:t>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2040699</w:t>
            </w:r>
          </w:p>
        </w:tc>
        <w:tc>
          <w:tcPr>
            <w:tcW w:w="1559" w:type="dxa"/>
            <w:vAlign w:val="center"/>
          </w:tcPr>
          <w:p>
            <w:pPr>
              <w:pStyle w:val="12"/>
            </w:pPr>
            <w:r>
              <w:t>其他司法支出</w:t>
            </w:r>
          </w:p>
        </w:tc>
        <w:tc>
          <w:tcPr>
            <w:tcW w:w="1134" w:type="dxa"/>
            <w:vAlign w:val="center"/>
          </w:tcPr>
          <w:p>
            <w:pPr>
              <w:pStyle w:val="11"/>
            </w:pPr>
            <w:r>
              <w:t>3161387.84</w:t>
            </w:r>
          </w:p>
        </w:tc>
        <w:tc>
          <w:tcPr>
            <w:tcW w:w="1134" w:type="dxa"/>
            <w:vAlign w:val="center"/>
          </w:tcPr>
          <w:p>
            <w:pPr>
              <w:pStyle w:val="11"/>
            </w:pPr>
            <w:r>
              <w:t>2401387.84</w:t>
            </w:r>
          </w:p>
        </w:tc>
        <w:tc>
          <w:tcPr>
            <w:tcW w:w="1134" w:type="dxa"/>
            <w:vAlign w:val="center"/>
          </w:tcPr>
          <w:p>
            <w:pPr>
              <w:pStyle w:val="11"/>
            </w:pPr>
            <w:r>
              <w:t>2401387.84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13693440.33</w:t>
            </w:r>
          </w:p>
        </w:tc>
        <w:tc>
          <w:tcPr>
            <w:tcW w:w="1361" w:type="dxa"/>
            <w:vAlign w:val="center"/>
          </w:tcPr>
          <w:p>
            <w:pPr>
              <w:pStyle w:val="15"/>
            </w:pPr>
            <w:r>
              <w:t>9404152.49</w:t>
            </w:r>
          </w:p>
        </w:tc>
        <w:tc>
          <w:tcPr>
            <w:tcW w:w="1361" w:type="dxa"/>
            <w:vAlign w:val="center"/>
          </w:tcPr>
          <w:p>
            <w:pPr>
              <w:pStyle w:val="15"/>
            </w:pPr>
            <w:r>
              <w:t>4289287.84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13616440.33</w:t>
            </w:r>
          </w:p>
        </w:tc>
        <w:tc>
          <w:tcPr>
            <w:tcW w:w="1361" w:type="dxa"/>
            <w:vAlign w:val="center"/>
          </w:tcPr>
          <w:p>
            <w:pPr>
              <w:pStyle w:val="11"/>
            </w:pPr>
            <w:r>
              <w:t>9404152.49</w:t>
            </w:r>
          </w:p>
        </w:tc>
        <w:tc>
          <w:tcPr>
            <w:tcW w:w="1361" w:type="dxa"/>
            <w:vAlign w:val="center"/>
          </w:tcPr>
          <w:p>
            <w:pPr>
              <w:pStyle w:val="11"/>
            </w:pPr>
            <w:r>
              <w:t>4212287.84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13616440.33</w:t>
            </w:r>
          </w:p>
        </w:tc>
        <w:tc>
          <w:tcPr>
            <w:tcW w:w="1361" w:type="dxa"/>
            <w:vAlign w:val="center"/>
          </w:tcPr>
          <w:p>
            <w:pPr>
              <w:pStyle w:val="11"/>
            </w:pPr>
            <w:r>
              <w:t>9404152.49</w:t>
            </w:r>
          </w:p>
        </w:tc>
        <w:tc>
          <w:tcPr>
            <w:tcW w:w="1361" w:type="dxa"/>
            <w:vAlign w:val="center"/>
          </w:tcPr>
          <w:p>
            <w:pPr>
              <w:pStyle w:val="11"/>
            </w:pPr>
            <w:r>
              <w:t>4212287.84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9404152.49</w:t>
            </w:r>
          </w:p>
        </w:tc>
        <w:tc>
          <w:tcPr>
            <w:tcW w:w="1361" w:type="dxa"/>
            <w:vAlign w:val="center"/>
          </w:tcPr>
          <w:p>
            <w:pPr>
              <w:pStyle w:val="11"/>
            </w:pPr>
            <w:r>
              <w:t>9404152.49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506000.00</w:t>
            </w:r>
          </w:p>
        </w:tc>
        <w:tc>
          <w:tcPr>
            <w:tcW w:w="1361" w:type="dxa"/>
            <w:vAlign w:val="center"/>
          </w:tcPr>
          <w:p>
            <w:pPr>
              <w:pStyle w:val="11"/>
            </w:pPr>
          </w:p>
        </w:tc>
        <w:tc>
          <w:tcPr>
            <w:tcW w:w="1361" w:type="dxa"/>
            <w:vAlign w:val="center"/>
          </w:tcPr>
          <w:p>
            <w:pPr>
              <w:pStyle w:val="11"/>
            </w:pPr>
            <w:r>
              <w:t>506000.00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440000.00</w:t>
            </w:r>
          </w:p>
        </w:tc>
        <w:tc>
          <w:tcPr>
            <w:tcW w:w="1361" w:type="dxa"/>
            <w:vAlign w:val="center"/>
          </w:tcPr>
          <w:p>
            <w:pPr>
              <w:pStyle w:val="11"/>
            </w:pPr>
          </w:p>
        </w:tc>
        <w:tc>
          <w:tcPr>
            <w:tcW w:w="1361" w:type="dxa"/>
            <w:vAlign w:val="center"/>
          </w:tcPr>
          <w:p>
            <w:pPr>
              <w:pStyle w:val="11"/>
            </w:pPr>
            <w:r>
              <w:t>440000.00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59900.00</w:t>
            </w:r>
          </w:p>
        </w:tc>
        <w:tc>
          <w:tcPr>
            <w:tcW w:w="1361" w:type="dxa"/>
            <w:vAlign w:val="center"/>
          </w:tcPr>
          <w:p>
            <w:pPr>
              <w:pStyle w:val="11"/>
            </w:pPr>
          </w:p>
        </w:tc>
        <w:tc>
          <w:tcPr>
            <w:tcW w:w="1361" w:type="dxa"/>
            <w:vAlign w:val="center"/>
          </w:tcPr>
          <w:p>
            <w:pPr>
              <w:pStyle w:val="11"/>
            </w:pPr>
            <w:r>
              <w:t>59900.00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1"/>
            </w:pPr>
            <w:r>
              <w:t>25000.00</w:t>
            </w:r>
          </w:p>
        </w:tc>
        <w:tc>
          <w:tcPr>
            <w:tcW w:w="1361" w:type="dxa"/>
            <w:vAlign w:val="center"/>
          </w:tcPr>
          <w:p>
            <w:pPr>
              <w:pStyle w:val="11"/>
            </w:pPr>
          </w:p>
        </w:tc>
        <w:tc>
          <w:tcPr>
            <w:tcW w:w="1361" w:type="dxa"/>
            <w:vAlign w:val="center"/>
          </w:tcPr>
          <w:p>
            <w:pPr>
              <w:pStyle w:val="11"/>
            </w:pPr>
            <w:r>
              <w:t>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2040699</w:t>
            </w:r>
          </w:p>
        </w:tc>
        <w:tc>
          <w:tcPr>
            <w:tcW w:w="4535" w:type="dxa"/>
            <w:vAlign w:val="center"/>
          </w:tcPr>
          <w:p>
            <w:pPr>
              <w:pStyle w:val="12"/>
            </w:pPr>
            <w:r>
              <w:t>其他司法支出</w:t>
            </w:r>
          </w:p>
        </w:tc>
        <w:tc>
          <w:tcPr>
            <w:tcW w:w="1361" w:type="dxa"/>
            <w:vAlign w:val="center"/>
          </w:tcPr>
          <w:p>
            <w:pPr>
              <w:pStyle w:val="11"/>
            </w:pPr>
            <w:r>
              <w:t>3161387.84</w:t>
            </w:r>
          </w:p>
        </w:tc>
        <w:tc>
          <w:tcPr>
            <w:tcW w:w="1361" w:type="dxa"/>
            <w:vAlign w:val="center"/>
          </w:tcPr>
          <w:p>
            <w:pPr>
              <w:pStyle w:val="11"/>
            </w:pPr>
          </w:p>
        </w:tc>
        <w:tc>
          <w:tcPr>
            <w:tcW w:w="1361" w:type="dxa"/>
            <w:vAlign w:val="center"/>
          </w:tcPr>
          <w:p>
            <w:pPr>
              <w:pStyle w:val="11"/>
            </w:pPr>
            <w:r>
              <w:t>3161387.84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r>
              <w:t>77000.00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12450440.33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13616440.33</w:t>
            </w:r>
          </w:p>
        </w:tc>
        <w:tc>
          <w:tcPr>
            <w:tcW w:w="1474" w:type="dxa"/>
            <w:vAlign w:val="center"/>
          </w:tcPr>
          <w:p>
            <w:pPr>
              <w:pStyle w:val="11"/>
            </w:pPr>
            <w:r>
              <w:t>13616440.33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77000.00</w:t>
            </w:r>
          </w:p>
        </w:tc>
        <w:tc>
          <w:tcPr>
            <w:tcW w:w="1474" w:type="dxa"/>
            <w:vAlign w:val="center"/>
          </w:tcPr>
          <w:p>
            <w:pPr>
              <w:pStyle w:val="11"/>
            </w:pPr>
            <w:r>
              <w:t>77000.00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12450440.33</w:t>
            </w:r>
          </w:p>
        </w:tc>
        <w:tc>
          <w:tcPr>
            <w:tcW w:w="3402" w:type="dxa"/>
            <w:vAlign w:val="center"/>
          </w:tcPr>
          <w:p>
            <w:pPr>
              <w:pStyle w:val="14"/>
            </w:pPr>
            <w:r>
              <w:t>本年支出合计</w:t>
            </w:r>
          </w:p>
        </w:tc>
        <w:tc>
          <w:tcPr>
            <w:tcW w:w="1474" w:type="dxa"/>
            <w:vAlign w:val="center"/>
          </w:tcPr>
          <w:p>
            <w:pPr>
              <w:pStyle w:val="15"/>
            </w:pPr>
            <w:r>
              <w:t>13693440.33</w:t>
            </w:r>
          </w:p>
        </w:tc>
        <w:tc>
          <w:tcPr>
            <w:tcW w:w="1474" w:type="dxa"/>
            <w:vAlign w:val="center"/>
          </w:tcPr>
          <w:p>
            <w:pPr>
              <w:pStyle w:val="15"/>
            </w:pPr>
            <w:r>
              <w:t>13693440.33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1243000.00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1243000.00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13693440.33</w:t>
            </w:r>
          </w:p>
        </w:tc>
        <w:tc>
          <w:tcPr>
            <w:tcW w:w="3402" w:type="dxa"/>
            <w:vAlign w:val="center"/>
          </w:tcPr>
          <w:p>
            <w:pPr>
              <w:pStyle w:val="14"/>
            </w:pPr>
            <w:r>
              <w:t>支出总计</w:t>
            </w:r>
          </w:p>
        </w:tc>
        <w:tc>
          <w:tcPr>
            <w:tcW w:w="1474" w:type="dxa"/>
            <w:vAlign w:val="center"/>
          </w:tcPr>
          <w:p>
            <w:pPr>
              <w:pStyle w:val="15"/>
            </w:pPr>
            <w:r>
              <w:t>13693440.33</w:t>
            </w:r>
          </w:p>
        </w:tc>
        <w:tc>
          <w:tcPr>
            <w:tcW w:w="1474" w:type="dxa"/>
            <w:vAlign w:val="center"/>
          </w:tcPr>
          <w:p>
            <w:pPr>
              <w:pStyle w:val="15"/>
            </w:pPr>
            <w:r>
              <w:t>13693440.33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13693440.33</w:t>
            </w:r>
          </w:p>
        </w:tc>
        <w:tc>
          <w:tcPr>
            <w:tcW w:w="2551" w:type="dxa"/>
            <w:vAlign w:val="center"/>
          </w:tcPr>
          <w:p>
            <w:pPr>
              <w:pStyle w:val="15"/>
            </w:pPr>
            <w:r>
              <w:t>9404152.49</w:t>
            </w:r>
          </w:p>
        </w:tc>
        <w:tc>
          <w:tcPr>
            <w:tcW w:w="2551" w:type="dxa"/>
            <w:vAlign w:val="center"/>
          </w:tcPr>
          <w:p>
            <w:pPr>
              <w:pStyle w:val="15"/>
            </w:pPr>
            <w:r>
              <w:t>4289287.84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13616440.33</w:t>
            </w:r>
          </w:p>
        </w:tc>
        <w:tc>
          <w:tcPr>
            <w:tcW w:w="2551" w:type="dxa"/>
            <w:vAlign w:val="center"/>
          </w:tcPr>
          <w:p>
            <w:pPr>
              <w:pStyle w:val="11"/>
            </w:pPr>
            <w:r>
              <w:t>9404152.49</w:t>
            </w:r>
          </w:p>
        </w:tc>
        <w:tc>
          <w:tcPr>
            <w:tcW w:w="2551" w:type="dxa"/>
            <w:vAlign w:val="center"/>
          </w:tcPr>
          <w:p>
            <w:pPr>
              <w:pStyle w:val="11"/>
            </w:pPr>
            <w:r>
              <w:t>4212287.84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13616440.33</w:t>
            </w:r>
          </w:p>
        </w:tc>
        <w:tc>
          <w:tcPr>
            <w:tcW w:w="2551" w:type="dxa"/>
            <w:vAlign w:val="center"/>
          </w:tcPr>
          <w:p>
            <w:pPr>
              <w:pStyle w:val="11"/>
            </w:pPr>
            <w:r>
              <w:t>9404152.49</w:t>
            </w:r>
          </w:p>
        </w:tc>
        <w:tc>
          <w:tcPr>
            <w:tcW w:w="2551" w:type="dxa"/>
            <w:vAlign w:val="center"/>
          </w:tcPr>
          <w:p>
            <w:pPr>
              <w:pStyle w:val="11"/>
            </w:pPr>
            <w:r>
              <w:t>4212287.84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9404152.49</w:t>
            </w:r>
          </w:p>
        </w:tc>
        <w:tc>
          <w:tcPr>
            <w:tcW w:w="2551" w:type="dxa"/>
            <w:vAlign w:val="center"/>
          </w:tcPr>
          <w:p>
            <w:pPr>
              <w:pStyle w:val="11"/>
            </w:pPr>
            <w:r>
              <w:t>9404152.49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506000.00</w:t>
            </w:r>
          </w:p>
        </w:tc>
        <w:tc>
          <w:tcPr>
            <w:tcW w:w="2551" w:type="dxa"/>
            <w:vAlign w:val="center"/>
          </w:tcPr>
          <w:p>
            <w:pPr>
              <w:pStyle w:val="11"/>
            </w:pPr>
          </w:p>
        </w:tc>
        <w:tc>
          <w:tcPr>
            <w:tcW w:w="2551" w:type="dxa"/>
            <w:vAlign w:val="center"/>
          </w:tcPr>
          <w:p>
            <w:pPr>
              <w:pStyle w:val="11"/>
            </w:pPr>
            <w:r>
              <w:t>506000.00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440000.00</w:t>
            </w:r>
          </w:p>
        </w:tc>
        <w:tc>
          <w:tcPr>
            <w:tcW w:w="2551" w:type="dxa"/>
            <w:vAlign w:val="center"/>
          </w:tcPr>
          <w:p>
            <w:pPr>
              <w:pStyle w:val="11"/>
            </w:pPr>
          </w:p>
        </w:tc>
        <w:tc>
          <w:tcPr>
            <w:tcW w:w="2551" w:type="dxa"/>
            <w:vAlign w:val="center"/>
          </w:tcPr>
          <w:p>
            <w:pPr>
              <w:pStyle w:val="11"/>
            </w:pPr>
            <w:r>
              <w:t>440000.00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59900.00</w:t>
            </w:r>
          </w:p>
        </w:tc>
        <w:tc>
          <w:tcPr>
            <w:tcW w:w="2551" w:type="dxa"/>
            <w:vAlign w:val="center"/>
          </w:tcPr>
          <w:p>
            <w:pPr>
              <w:pStyle w:val="11"/>
            </w:pPr>
          </w:p>
        </w:tc>
        <w:tc>
          <w:tcPr>
            <w:tcW w:w="2551" w:type="dxa"/>
            <w:vAlign w:val="center"/>
          </w:tcPr>
          <w:p>
            <w:pPr>
              <w:pStyle w:val="11"/>
            </w:pPr>
            <w:r>
              <w:t>59900.00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t>25000.00</w:t>
            </w:r>
          </w:p>
        </w:tc>
        <w:tc>
          <w:tcPr>
            <w:tcW w:w="2551" w:type="dxa"/>
            <w:vAlign w:val="center"/>
          </w:tcPr>
          <w:p>
            <w:pPr>
              <w:pStyle w:val="11"/>
            </w:pPr>
          </w:p>
        </w:tc>
        <w:tc>
          <w:tcPr>
            <w:tcW w:w="2551"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pPr>
            <w:r>
              <w:t>3161387.84</w:t>
            </w:r>
          </w:p>
        </w:tc>
        <w:tc>
          <w:tcPr>
            <w:tcW w:w="2551" w:type="dxa"/>
            <w:vAlign w:val="center"/>
          </w:tcPr>
          <w:p>
            <w:pPr>
              <w:pStyle w:val="11"/>
            </w:pPr>
          </w:p>
        </w:tc>
        <w:tc>
          <w:tcPr>
            <w:tcW w:w="2551" w:type="dxa"/>
            <w:vAlign w:val="center"/>
          </w:tcPr>
          <w:p>
            <w:pPr>
              <w:pStyle w:val="11"/>
            </w:pPr>
            <w:r>
              <w:t>3161387.84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77000.00</w:t>
            </w:r>
          </w:p>
        </w:tc>
        <w:tc>
          <w:tcPr>
            <w:tcW w:w="2551" w:type="dxa"/>
            <w:vAlign w:val="center"/>
          </w:tcPr>
          <w:p>
            <w:pPr>
              <w:pStyle w:val="11"/>
            </w:pPr>
          </w:p>
        </w:tc>
        <w:tc>
          <w:tcPr>
            <w:tcW w:w="2551" w:type="dxa"/>
            <w:vAlign w:val="center"/>
          </w:tcPr>
          <w:p>
            <w:pPr>
              <w:pStyle w:val="11"/>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77000.00</w:t>
            </w:r>
          </w:p>
        </w:tc>
        <w:tc>
          <w:tcPr>
            <w:tcW w:w="2551" w:type="dxa"/>
            <w:vAlign w:val="center"/>
          </w:tcPr>
          <w:p>
            <w:pPr>
              <w:pStyle w:val="11"/>
            </w:pPr>
          </w:p>
        </w:tc>
        <w:tc>
          <w:tcPr>
            <w:tcW w:w="2551" w:type="dxa"/>
            <w:vAlign w:val="center"/>
          </w:tcPr>
          <w:p>
            <w:pPr>
              <w:pStyle w:val="11"/>
            </w:pPr>
            <w:r>
              <w:t>77000.00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77000.00</w:t>
            </w:r>
          </w:p>
        </w:tc>
        <w:tc>
          <w:tcPr>
            <w:tcW w:w="2551" w:type="dxa"/>
            <w:vAlign w:val="center"/>
          </w:tcPr>
          <w:p>
            <w:pPr>
              <w:pStyle w:val="11"/>
            </w:pPr>
          </w:p>
        </w:tc>
        <w:tc>
          <w:tcPr>
            <w:tcW w:w="2551" w:type="dxa"/>
            <w:vAlign w:val="center"/>
          </w:tcPr>
          <w:p>
            <w:pPr>
              <w:pStyle w:val="11"/>
            </w:pPr>
            <w:r>
              <w:t>77000.00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9404152.49</w:t>
            </w:r>
          </w:p>
        </w:tc>
        <w:tc>
          <w:tcPr>
            <w:tcW w:w="2551" w:type="dxa"/>
            <w:vAlign w:val="center"/>
          </w:tcPr>
          <w:p>
            <w:pPr>
              <w:pStyle w:val="15"/>
            </w:pPr>
            <w:r>
              <w:t>8669862.10</w:t>
            </w:r>
          </w:p>
        </w:tc>
        <w:tc>
          <w:tcPr>
            <w:tcW w:w="2551" w:type="dxa"/>
            <w:vAlign w:val="center"/>
          </w:tcPr>
          <w:p>
            <w:pPr>
              <w:pStyle w:val="15"/>
            </w:pPr>
            <w:r>
              <w:t>734290.39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8044317.10</w:t>
            </w:r>
          </w:p>
        </w:tc>
        <w:tc>
          <w:tcPr>
            <w:tcW w:w="2551" w:type="dxa"/>
            <w:vAlign w:val="center"/>
          </w:tcPr>
          <w:p>
            <w:pPr>
              <w:pStyle w:val="11"/>
            </w:pPr>
            <w:r>
              <w:t>8044317.10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2419485.49</w:t>
            </w:r>
          </w:p>
        </w:tc>
        <w:tc>
          <w:tcPr>
            <w:tcW w:w="2551" w:type="dxa"/>
            <w:vAlign w:val="center"/>
          </w:tcPr>
          <w:p>
            <w:pPr>
              <w:pStyle w:val="11"/>
            </w:pPr>
            <w:r>
              <w:t>2419485.49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2571564.00</w:t>
            </w:r>
          </w:p>
        </w:tc>
        <w:tc>
          <w:tcPr>
            <w:tcW w:w="2551" w:type="dxa"/>
            <w:vAlign w:val="center"/>
          </w:tcPr>
          <w:p>
            <w:pPr>
              <w:pStyle w:val="11"/>
            </w:pPr>
            <w:r>
              <w:t>2571564.00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699037.00</w:t>
            </w:r>
          </w:p>
        </w:tc>
        <w:tc>
          <w:tcPr>
            <w:tcW w:w="2551" w:type="dxa"/>
            <w:vAlign w:val="center"/>
          </w:tcPr>
          <w:p>
            <w:pPr>
              <w:pStyle w:val="11"/>
            </w:pPr>
            <w:r>
              <w:t>699037.00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743668.00</w:t>
            </w:r>
          </w:p>
        </w:tc>
        <w:tc>
          <w:tcPr>
            <w:tcW w:w="2551" w:type="dxa"/>
            <w:vAlign w:val="center"/>
          </w:tcPr>
          <w:p>
            <w:pPr>
              <w:pStyle w:val="11"/>
            </w:pPr>
            <w:r>
              <w:t>743668.00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514376.31</w:t>
            </w:r>
          </w:p>
        </w:tc>
        <w:tc>
          <w:tcPr>
            <w:tcW w:w="2551" w:type="dxa"/>
            <w:vAlign w:val="center"/>
          </w:tcPr>
          <w:p>
            <w:pPr>
              <w:pStyle w:val="11"/>
            </w:pPr>
            <w:r>
              <w:t>514376.31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315163.28</w:t>
            </w:r>
          </w:p>
        </w:tc>
        <w:tc>
          <w:tcPr>
            <w:tcW w:w="2551" w:type="dxa"/>
            <w:vAlign w:val="center"/>
          </w:tcPr>
          <w:p>
            <w:pPr>
              <w:pStyle w:val="11"/>
            </w:pPr>
            <w:r>
              <w:t>315163.28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78790.82</w:t>
            </w:r>
          </w:p>
        </w:tc>
        <w:tc>
          <w:tcPr>
            <w:tcW w:w="2551" w:type="dxa"/>
            <w:vAlign w:val="center"/>
          </w:tcPr>
          <w:p>
            <w:pPr>
              <w:pStyle w:val="11"/>
            </w:pPr>
            <w:r>
              <w:t>78790.82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577527.96</w:t>
            </w:r>
          </w:p>
        </w:tc>
        <w:tc>
          <w:tcPr>
            <w:tcW w:w="2551" w:type="dxa"/>
            <w:vAlign w:val="center"/>
          </w:tcPr>
          <w:p>
            <w:pPr>
              <w:pStyle w:val="11"/>
            </w:pPr>
            <w:r>
              <w:t>577527.96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124704.24</w:t>
            </w:r>
          </w:p>
        </w:tc>
        <w:tc>
          <w:tcPr>
            <w:tcW w:w="2551" w:type="dxa"/>
            <w:vAlign w:val="center"/>
          </w:tcPr>
          <w:p>
            <w:pPr>
              <w:pStyle w:val="11"/>
            </w:pPr>
            <w:r>
              <w:t>124704.24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734290.39</w:t>
            </w:r>
          </w:p>
        </w:tc>
        <w:tc>
          <w:tcPr>
            <w:tcW w:w="2551" w:type="dxa"/>
            <w:vAlign w:val="center"/>
          </w:tcPr>
          <w:p>
            <w:pPr>
              <w:pStyle w:val="11"/>
            </w:pPr>
          </w:p>
        </w:tc>
        <w:tc>
          <w:tcPr>
            <w:tcW w:w="2551" w:type="dxa"/>
            <w:vAlign w:val="center"/>
          </w:tcPr>
          <w:p>
            <w:pPr>
              <w:pStyle w:val="11"/>
            </w:pPr>
            <w:r>
              <w:t>734290.39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28000.00</w:t>
            </w:r>
          </w:p>
        </w:tc>
        <w:tc>
          <w:tcPr>
            <w:tcW w:w="2551" w:type="dxa"/>
            <w:vAlign w:val="center"/>
          </w:tcPr>
          <w:p>
            <w:pPr>
              <w:pStyle w:val="11"/>
            </w:pPr>
          </w:p>
        </w:tc>
        <w:tc>
          <w:tcPr>
            <w:tcW w:w="2551" w:type="dxa"/>
            <w:vAlign w:val="center"/>
          </w:tcPr>
          <w:p>
            <w:pPr>
              <w:pStyle w:val="11"/>
            </w:pPr>
            <w:r>
              <w:t>28000.00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2500.00</w:t>
            </w:r>
          </w:p>
        </w:tc>
        <w:tc>
          <w:tcPr>
            <w:tcW w:w="2551" w:type="dxa"/>
            <w:vAlign w:val="center"/>
          </w:tcPr>
          <w:p>
            <w:pPr>
              <w:pStyle w:val="11"/>
            </w:pPr>
          </w:p>
        </w:tc>
        <w:tc>
          <w:tcPr>
            <w:tcW w:w="2551"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30800.00</w:t>
            </w:r>
          </w:p>
        </w:tc>
        <w:tc>
          <w:tcPr>
            <w:tcW w:w="2551" w:type="dxa"/>
            <w:vAlign w:val="center"/>
          </w:tcPr>
          <w:p>
            <w:pPr>
              <w:pStyle w:val="11"/>
            </w:pPr>
          </w:p>
        </w:tc>
        <w:tc>
          <w:tcPr>
            <w:tcW w:w="2551" w:type="dxa"/>
            <w:vAlign w:val="center"/>
          </w:tcPr>
          <w:p>
            <w:pPr>
              <w:pStyle w:val="11"/>
            </w:pPr>
            <w:r>
              <w:t>30800.00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24376.00</w:t>
            </w:r>
          </w:p>
        </w:tc>
        <w:tc>
          <w:tcPr>
            <w:tcW w:w="2551" w:type="dxa"/>
            <w:vAlign w:val="center"/>
          </w:tcPr>
          <w:p>
            <w:pPr>
              <w:pStyle w:val="11"/>
            </w:pPr>
          </w:p>
        </w:tc>
        <w:tc>
          <w:tcPr>
            <w:tcW w:w="2551" w:type="dxa"/>
            <w:vAlign w:val="center"/>
          </w:tcPr>
          <w:p>
            <w:pPr>
              <w:pStyle w:val="11"/>
            </w:pPr>
            <w:r>
              <w:t>24376.00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35764.39</w:t>
            </w:r>
          </w:p>
        </w:tc>
        <w:tc>
          <w:tcPr>
            <w:tcW w:w="2551" w:type="dxa"/>
            <w:vAlign w:val="center"/>
          </w:tcPr>
          <w:p>
            <w:pPr>
              <w:pStyle w:val="11"/>
            </w:pPr>
          </w:p>
        </w:tc>
        <w:tc>
          <w:tcPr>
            <w:tcW w:w="2551" w:type="dxa"/>
            <w:vAlign w:val="center"/>
          </w:tcPr>
          <w:p>
            <w:pPr>
              <w:pStyle w:val="11"/>
            </w:pPr>
            <w:r>
              <w:t>35764.39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28000.00</w:t>
            </w:r>
          </w:p>
        </w:tc>
        <w:tc>
          <w:tcPr>
            <w:tcW w:w="2551" w:type="dxa"/>
            <w:vAlign w:val="center"/>
          </w:tcPr>
          <w:p>
            <w:pPr>
              <w:pStyle w:val="11"/>
            </w:pPr>
          </w:p>
        </w:tc>
        <w:tc>
          <w:tcPr>
            <w:tcW w:w="2551" w:type="dxa"/>
            <w:vAlign w:val="center"/>
          </w:tcPr>
          <w:p>
            <w:pPr>
              <w:pStyle w:val="11"/>
            </w:pPr>
            <w:r>
              <w:t>28000.00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2800.00</w:t>
            </w:r>
          </w:p>
        </w:tc>
        <w:tc>
          <w:tcPr>
            <w:tcW w:w="2551" w:type="dxa"/>
            <w:vAlign w:val="center"/>
          </w:tcPr>
          <w:p>
            <w:pPr>
              <w:pStyle w:val="11"/>
            </w:pPr>
          </w:p>
        </w:tc>
        <w:tc>
          <w:tcPr>
            <w:tcW w:w="2551" w:type="dxa"/>
            <w:vAlign w:val="center"/>
          </w:tcPr>
          <w:p>
            <w:pPr>
              <w:pStyle w:val="11"/>
            </w:pPr>
            <w:r>
              <w:t>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44800.00</w:t>
            </w:r>
          </w:p>
        </w:tc>
        <w:tc>
          <w:tcPr>
            <w:tcW w:w="2551" w:type="dxa"/>
            <w:vAlign w:val="center"/>
          </w:tcPr>
          <w:p>
            <w:pPr>
              <w:pStyle w:val="11"/>
            </w:pPr>
          </w:p>
        </w:tc>
        <w:tc>
          <w:tcPr>
            <w:tcW w:w="2551" w:type="dxa"/>
            <w:vAlign w:val="center"/>
          </w:tcPr>
          <w:p>
            <w:pPr>
              <w:pStyle w:val="11"/>
            </w:pPr>
            <w:r>
              <w:t>44800.00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309000.00</w:t>
            </w:r>
          </w:p>
        </w:tc>
        <w:tc>
          <w:tcPr>
            <w:tcW w:w="2551" w:type="dxa"/>
            <w:vAlign w:val="center"/>
          </w:tcPr>
          <w:p>
            <w:pPr>
              <w:pStyle w:val="11"/>
            </w:pPr>
          </w:p>
        </w:tc>
        <w:tc>
          <w:tcPr>
            <w:tcW w:w="2551" w:type="dxa"/>
            <w:vAlign w:val="center"/>
          </w:tcPr>
          <w:p>
            <w:pPr>
              <w:pStyle w:val="11"/>
            </w:pPr>
            <w:r>
              <w:t>309000.00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92250.00</w:t>
            </w:r>
          </w:p>
        </w:tc>
        <w:tc>
          <w:tcPr>
            <w:tcW w:w="2551" w:type="dxa"/>
            <w:vAlign w:val="center"/>
          </w:tcPr>
          <w:p>
            <w:pPr>
              <w:pStyle w:val="11"/>
            </w:pPr>
          </w:p>
        </w:tc>
        <w:tc>
          <w:tcPr>
            <w:tcW w:w="2551" w:type="dxa"/>
            <w:vAlign w:val="center"/>
          </w:tcPr>
          <w:p>
            <w:pPr>
              <w:pStyle w:val="11"/>
            </w:pPr>
            <w:r>
              <w:t>92250.00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625545.00</w:t>
            </w:r>
          </w:p>
        </w:tc>
        <w:tc>
          <w:tcPr>
            <w:tcW w:w="2551" w:type="dxa"/>
            <w:vAlign w:val="center"/>
          </w:tcPr>
          <w:p>
            <w:pPr>
              <w:pStyle w:val="11"/>
            </w:pPr>
            <w:r>
              <w:t>625545.00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545985.00</w:t>
            </w:r>
          </w:p>
        </w:tc>
        <w:tc>
          <w:tcPr>
            <w:tcW w:w="2551" w:type="dxa"/>
            <w:vAlign w:val="center"/>
          </w:tcPr>
          <w:p>
            <w:pPr>
              <w:pStyle w:val="11"/>
            </w:pPr>
            <w:r>
              <w:t>545985.00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79200.00</w:t>
            </w:r>
          </w:p>
        </w:tc>
        <w:tc>
          <w:tcPr>
            <w:tcW w:w="2551" w:type="dxa"/>
            <w:vAlign w:val="center"/>
          </w:tcPr>
          <w:p>
            <w:pPr>
              <w:pStyle w:val="11"/>
            </w:pPr>
            <w:r>
              <w:t>79200.00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315001玉田县司法局本级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53000.00</w:t>
            </w:r>
          </w:p>
        </w:tc>
        <w:tc>
          <w:tcPr>
            <w:tcW w:w="2381" w:type="dxa"/>
            <w:vAlign w:val="center"/>
          </w:tcPr>
          <w:p>
            <w:pPr>
              <w:pStyle w:val="15"/>
            </w:pPr>
            <w:r>
              <w:t>53000.00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53000.00</w:t>
            </w:r>
          </w:p>
        </w:tc>
        <w:tc>
          <w:tcPr>
            <w:tcW w:w="2381" w:type="dxa"/>
            <w:vAlign w:val="center"/>
          </w:tcPr>
          <w:p>
            <w:pPr>
              <w:pStyle w:val="11"/>
            </w:pPr>
            <w:r>
              <w:t>53000.00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53000.00</w:t>
            </w:r>
          </w:p>
        </w:tc>
        <w:tc>
          <w:tcPr>
            <w:tcW w:w="2381" w:type="dxa"/>
            <w:vAlign w:val="center"/>
          </w:tcPr>
          <w:p>
            <w:pPr>
              <w:pStyle w:val="11"/>
            </w:pPr>
            <w:r>
              <w:t>53000.00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53000.00</w:t>
            </w:r>
          </w:p>
        </w:tc>
        <w:tc>
          <w:tcPr>
            <w:tcW w:w="2381" w:type="dxa"/>
            <w:vAlign w:val="center"/>
          </w:tcPr>
          <w:p>
            <w:pPr>
              <w:pStyle w:val="11"/>
            </w:pPr>
            <w:r>
              <w:t>53000.00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玉田县司法局本级2025年单位预算信息公开情况说明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按照《中华人民共和国预算法》、《地方预决算公开操作规程》和《关于进一步推进预算公开工作的实施意见》规定，现将玉田县司法局本级2025年单位预算公开如下：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根据《玉田县司法局职能配置、内设机构和人员编制规定》，玉田县司法局的主要职责是：</w:t>
      </w:r>
    </w:p>
    <w:p>
      <w:pPr>
        <w:pStyle w:val="17"/>
      </w:pPr>
    </w:p>
    <w:p>
      <w:pPr>
        <w:pStyle w:val="17"/>
      </w:pPr>
      <w:r>
        <w:t>（1）承担全面依法治县重大问题的政策研究。组织协调有关方面提出全面依法治县中长期规划建议，负责有关重大决策部署督察工作。</w:t>
      </w:r>
    </w:p>
    <w:p>
      <w:pPr>
        <w:pStyle w:val="17"/>
      </w:pPr>
    </w:p>
    <w:p>
      <w:pPr>
        <w:pStyle w:val="17"/>
      </w:pPr>
      <w:r>
        <w:t xml:space="preserve">（2）负责县政府各部门、各乡镇（街道）政府（办事处）、开发区管委会规范性文件的备案审查工作；负责对县政府政策措施、规范性文件和合同协议的合法性审核工作；承办县政府交办的涉法事务。 </w:t>
      </w:r>
    </w:p>
    <w:p>
      <w:pPr>
        <w:pStyle w:val="17"/>
      </w:pPr>
    </w:p>
    <w:p>
      <w:pPr>
        <w:pStyle w:val="17"/>
      </w:pPr>
      <w:r>
        <w:t xml:space="preserve">（3）承担统筹推进玉田县法治政府建设的责任。指导县政府各部门、各乡镇（街道）政府依法行政工作；负责综合协调行政执法，承担推进行政执法体制改革有关工作，推进严格规范公正文明执法；依法承办行政复议案件；受县政府委托，代理行政诉讼案件案件的应诉工作；指导全县行政复议和应诉工作。 </w:t>
      </w:r>
    </w:p>
    <w:p>
      <w:pPr>
        <w:pStyle w:val="17"/>
      </w:pPr>
    </w:p>
    <w:p>
      <w:pPr>
        <w:pStyle w:val="17"/>
      </w:pPr>
      <w:r>
        <w:t>（4）承担统筹规划全县法治社会建设的责任。负责拟定全县法治宣传教育规划，组织实施普法宣传工作；推动全县人民参与和促进法治社会建设；指导全县基层法治创建工作；指导全县人民调解工作；负责和指导全县人民监督员、人民陪审员选任管理工作；负责全县司法所建设</w:t>
      </w:r>
    </w:p>
    <w:p>
      <w:pPr>
        <w:pStyle w:val="17"/>
      </w:pPr>
    </w:p>
    <w:p>
      <w:pPr>
        <w:pStyle w:val="17"/>
      </w:pPr>
      <w:r>
        <w:t xml:space="preserve">（5）负责全县社区矫正工作；负责全县刑满释放人员安置帮教工作。 </w:t>
      </w:r>
    </w:p>
    <w:p>
      <w:pPr>
        <w:pStyle w:val="17"/>
      </w:pPr>
    </w:p>
    <w:p>
      <w:pPr>
        <w:pStyle w:val="17"/>
      </w:pPr>
      <w:r>
        <w:t xml:space="preserve">（6）负责制定全县公共法律服务体系建设规划并指导实施，统筹和布局城乡、区域法律服务资源；负责全县律师、公证、法律援助、司法鉴定、仲裁和基层法律服务监督管理工作。 </w:t>
      </w:r>
    </w:p>
    <w:p>
      <w:pPr>
        <w:pStyle w:val="17"/>
      </w:pPr>
    </w:p>
    <w:p>
      <w:pPr>
        <w:pStyle w:val="17"/>
      </w:pPr>
      <w:r>
        <w:t>（7）负责本系统财务、装备、设施、场所等保障工作。</w:t>
      </w:r>
    </w:p>
    <w:p>
      <w:pPr>
        <w:pStyle w:val="17"/>
      </w:pPr>
    </w:p>
    <w:p>
      <w:pPr>
        <w:pStyle w:val="17"/>
      </w:pPr>
      <w:r>
        <w:t>（8）规划、协调、指导全县法治人才队伍建设相关工作；负责本系统党的建设、干部队伍建设和精神文明建设工作。</w:t>
      </w:r>
    </w:p>
    <w:p>
      <w:pPr>
        <w:pStyle w:val="17"/>
      </w:pPr>
    </w:p>
    <w:p>
      <w:pPr>
        <w:pStyle w:val="17"/>
      </w:pPr>
      <w:r>
        <w:t xml:space="preserve">（9）完成县委、县政府交办的其他任务。  </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13693440.33元，其中：一般公共预算收入12450440.33元，基金预算收入0.00元，国有资本经营预算收入0.00元，财政专户核拨收入0.00元，单位资金收入0.00元，上年结转结余1243000.00元。</w:t>
      </w:r>
    </w:p>
    <w:p>
      <w:pPr>
        <w:pStyle w:val="18"/>
      </w:pPr>
      <w:r>
        <w:t>2、支出说明</w:t>
      </w:r>
    </w:p>
    <w:p>
      <w:pPr>
        <w:pStyle w:val="18"/>
      </w:pPr>
      <w:r>
        <w:t>收支预算总表支出栏、基本支出表、项目支出表按经济分类和支出功能分类科目编制，反映玉田县司法局本级年度单位预算中支出预算的总体情况。2025年支出预算13693440.33元，其中基本支出9404152.49元，包括人员经费8669862.10元和日常公用经费734290.39元；项目支出4289287.84元（特定目标类 2672900元+其他运转类 1616387.84元），较上年增加 2292512.88元，主要因为上年结转资金和本年转移支付资金同比增加 。     特定目标类支出含2024年结转资金1243000元+2025年当年资金1429900元； 其他运转类支出 1616387.84元为2025年劳务派遣人员工资、保险等费用。</w:t>
      </w:r>
    </w:p>
    <w:p>
      <w:pPr>
        <w:pStyle w:val="18"/>
      </w:pPr>
      <w:r>
        <w:t>3、比上年增减情况</w:t>
      </w:r>
    </w:p>
    <w:p>
      <w:pPr>
        <w:pStyle w:val="18"/>
      </w:pPr>
      <w:r>
        <w:t>2025年预算收支安排13693440.33元，较2024年预算减少112414.57元，其中：基本支出减少2404927.45元，主要为2025年基本支出9404152.49元，其中人员经费8669862.1元，公用经费 734290.39元。项目支出增加2292512.88元，主要为2025年项目支出 4289287.87元（特定目标类 2672900元+其他运转类 1616387.84元），特定目标类支出含2024年结转资金1243000元+2025年当年资金1429900元（含新增的残疾人保障金项目 77000元）； 其他运转类支出 1616387.84元为2025年劳务派遣人员工资、保险等费用（2025年开始以项目形式编制预算）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2025年，我单位机关运行经费共计安排734290.39元，主要用于日常维修、办公用房水电费、办公用房取暖费、办公用房物业管理费等日常运行支出。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53000.00</w:t>
      </w:r>
      <w:r>
        <w:t>元，其中因公出国（境）费0.00元；公务用车购置及运维费</w:t>
      </w:r>
      <w:r>
        <w:rPr>
          <w:rFonts w:hint="eastAsia"/>
          <w:lang w:val="en-US" w:eastAsia="zh-CN"/>
        </w:rPr>
        <w:t>53000.00</w:t>
      </w:r>
      <w:r>
        <w:t>元（其中：公务用车购置费为0.00元，公务用车运维费</w:t>
      </w:r>
      <w:r>
        <w:rPr>
          <w:rFonts w:hint="eastAsia"/>
          <w:lang w:val="en-US" w:eastAsia="zh-CN"/>
        </w:rPr>
        <w:t>53000.00</w:t>
      </w:r>
      <w:r>
        <w:t>元)；公务接待费0.00元。与2024年相比增加</w:t>
      </w:r>
      <w:r>
        <w:rPr>
          <w:rFonts w:hint="eastAsia"/>
          <w:lang w:val="en-US" w:eastAsia="zh-CN"/>
        </w:rPr>
        <w:t>3000</w:t>
      </w:r>
      <w:r>
        <w:t>.00元，增减变化的主要原因是</w:t>
      </w:r>
      <w:r>
        <w:rPr>
          <w:rFonts w:hint="eastAsia"/>
          <w:lang w:eastAsia="zh-CN"/>
        </w:rPr>
        <w:t>该</w:t>
      </w:r>
      <w:r>
        <w:rPr>
          <w:rFonts w:hint="eastAsia"/>
          <w:lang w:val="en-US" w:eastAsia="zh-CN"/>
        </w:rPr>
        <w:t>3000元为上年度转移支付结转资金</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13022925P004R28106781</w:t>
            </w:r>
          </w:p>
        </w:tc>
        <w:tc>
          <w:tcPr>
            <w:tcW w:w="2835" w:type="dxa"/>
            <w:vAlign w:val="center"/>
          </w:tcPr>
          <w:p>
            <w:pPr>
              <w:pStyle w:val="10"/>
            </w:pPr>
            <w:r>
              <w:t>项目名称</w:t>
            </w:r>
          </w:p>
        </w:tc>
        <w:tc>
          <w:tcPr>
            <w:tcW w:w="6095" w:type="dxa"/>
            <w:gridSpan w:val="3"/>
            <w:vAlign w:val="center"/>
          </w:tcPr>
          <w:p>
            <w:pPr>
              <w:pStyle w:val="12"/>
            </w:pPr>
            <w:r>
              <w:t>2025年劳务派遣人员经费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1616387.84</w:t>
            </w:r>
          </w:p>
        </w:tc>
        <w:tc>
          <w:tcPr>
            <w:tcW w:w="2835" w:type="dxa"/>
            <w:vAlign w:val="center"/>
          </w:tcPr>
          <w:p>
            <w:pPr>
              <w:pStyle w:val="10"/>
            </w:pPr>
            <w:r>
              <w:t>其中：财政    资金</w:t>
            </w:r>
          </w:p>
        </w:tc>
        <w:tc>
          <w:tcPr>
            <w:tcW w:w="2551" w:type="dxa"/>
            <w:vAlign w:val="center"/>
          </w:tcPr>
          <w:p>
            <w:pPr>
              <w:pStyle w:val="12"/>
            </w:pPr>
            <w:r>
              <w:t>1616387.84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保障人员基本支出及司法业务正常开展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1.保证司法业务正常开展，提升人民群众满意度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受理法律案件咨询数</w:t>
            </w:r>
          </w:p>
        </w:tc>
        <w:tc>
          <w:tcPr>
            <w:tcW w:w="5386" w:type="dxa"/>
            <w:vAlign w:val="center"/>
          </w:tcPr>
          <w:p>
            <w:pPr>
              <w:pStyle w:val="12"/>
            </w:pPr>
            <w:r>
              <w:t>受理法律案件咨询数</w:t>
            </w:r>
          </w:p>
        </w:tc>
        <w:tc>
          <w:tcPr>
            <w:tcW w:w="2268" w:type="dxa"/>
            <w:vAlign w:val="center"/>
          </w:tcPr>
          <w:p>
            <w:pPr>
              <w:pStyle w:val="12"/>
            </w:pPr>
            <w:r>
              <w:t>≥200件</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保障专款按照规定用途使用，不挤占挪用</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案件、资料上报及时率</w:t>
            </w:r>
          </w:p>
        </w:tc>
        <w:tc>
          <w:tcPr>
            <w:tcW w:w="5386" w:type="dxa"/>
            <w:vAlign w:val="center"/>
          </w:tcPr>
          <w:p>
            <w:pPr>
              <w:pStyle w:val="12"/>
            </w:pPr>
            <w:r>
              <w:t>案件、资料上报及时率</w:t>
            </w:r>
          </w:p>
        </w:tc>
        <w:tc>
          <w:tcPr>
            <w:tcW w:w="2268" w:type="dxa"/>
            <w:vAlign w:val="center"/>
          </w:tcPr>
          <w:p>
            <w:pPr>
              <w:pStyle w:val="12"/>
            </w:pPr>
            <w:r>
              <w:t>&gt;95%</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人均差旅成本</w:t>
            </w:r>
          </w:p>
        </w:tc>
        <w:tc>
          <w:tcPr>
            <w:tcW w:w="5386" w:type="dxa"/>
            <w:vAlign w:val="center"/>
          </w:tcPr>
          <w:p>
            <w:pPr>
              <w:pStyle w:val="12"/>
            </w:pPr>
            <w:r>
              <w:t>人均差旅成本</w:t>
            </w:r>
          </w:p>
        </w:tc>
        <w:tc>
          <w:tcPr>
            <w:tcW w:w="2268" w:type="dxa"/>
            <w:vAlign w:val="center"/>
          </w:tcPr>
          <w:p>
            <w:pPr>
              <w:pStyle w:val="12"/>
            </w:pPr>
            <w:r>
              <w:t>严格按照财务规定报销</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办公资源循环利用率</w:t>
            </w:r>
          </w:p>
        </w:tc>
        <w:tc>
          <w:tcPr>
            <w:tcW w:w="5386" w:type="dxa"/>
            <w:vAlign w:val="center"/>
          </w:tcPr>
          <w:p>
            <w:pPr>
              <w:pStyle w:val="12"/>
            </w:pPr>
            <w:r>
              <w:t>办公资源循环利用率</w:t>
            </w:r>
          </w:p>
        </w:tc>
        <w:tc>
          <w:tcPr>
            <w:tcW w:w="2268" w:type="dxa"/>
            <w:vAlign w:val="center"/>
          </w:tcPr>
          <w:p>
            <w:pPr>
              <w:pStyle w:val="12"/>
            </w:pPr>
            <w:r>
              <w:t>&gt;70%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投诉减少率（%）</w:t>
            </w:r>
          </w:p>
        </w:tc>
        <w:tc>
          <w:tcPr>
            <w:tcW w:w="5386" w:type="dxa"/>
            <w:vAlign w:val="center"/>
          </w:tcPr>
          <w:p>
            <w:pPr>
              <w:pStyle w:val="12"/>
            </w:pPr>
            <w:r>
              <w:t>投诉减少率（%）</w:t>
            </w:r>
          </w:p>
        </w:tc>
        <w:tc>
          <w:tcPr>
            <w:tcW w:w="2268" w:type="dxa"/>
            <w:vAlign w:val="center"/>
          </w:tcPr>
          <w:p>
            <w:pPr>
              <w:pStyle w:val="12"/>
            </w:pPr>
            <w:r>
              <w:t>&gt;2%</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&gt;80%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持续提升公共服务水平和质量</w:t>
            </w:r>
          </w:p>
        </w:tc>
        <w:tc>
          <w:tcPr>
            <w:tcW w:w="2268" w:type="dxa"/>
            <w:vAlign w:val="center"/>
          </w:tcPr>
          <w:p>
            <w:pPr>
              <w:pStyle w:val="12"/>
            </w:pPr>
            <w:r>
              <w:t>持续提升公共服务水平和质量</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≥94%</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13022925P00JXC419593X</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77000.00</w:t>
            </w:r>
          </w:p>
        </w:tc>
        <w:tc>
          <w:tcPr>
            <w:tcW w:w="2835" w:type="dxa"/>
            <w:vAlign w:val="center"/>
          </w:tcPr>
          <w:p>
            <w:pPr>
              <w:pStyle w:val="10"/>
            </w:pPr>
            <w:r>
              <w:t>其中：财政    资金</w:t>
            </w:r>
          </w:p>
        </w:tc>
        <w:tc>
          <w:tcPr>
            <w:tcW w:w="2551" w:type="dxa"/>
            <w:vAlign w:val="center"/>
          </w:tcPr>
          <w:p>
            <w:pPr>
              <w:pStyle w:val="12"/>
            </w:pPr>
            <w:r>
              <w:t>77000.00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保障职工切身利益，保障工作正常开展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1.保障职工切身利益，保障工作正常开展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≥50人</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残疾人专职委员补贴足额发放率</w:t>
            </w:r>
          </w:p>
        </w:tc>
        <w:tc>
          <w:tcPr>
            <w:tcW w:w="5386" w:type="dxa"/>
            <w:vAlign w:val="center"/>
          </w:tcPr>
          <w:p>
            <w:pPr>
              <w:pStyle w:val="12"/>
            </w:pPr>
            <w:r>
              <w:t>残疾人专职委员补贴足额发放率</w:t>
            </w:r>
          </w:p>
        </w:tc>
        <w:tc>
          <w:tcPr>
            <w:tcW w:w="2268" w:type="dxa"/>
            <w:vAlign w:val="center"/>
          </w:tcPr>
          <w:p>
            <w:pPr>
              <w:pStyle w:val="12"/>
            </w:pPr>
            <w:r>
              <w:t>及时足额发放</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综合业务工作任务及时性</w:t>
            </w:r>
          </w:p>
        </w:tc>
        <w:tc>
          <w:tcPr>
            <w:tcW w:w="5386" w:type="dxa"/>
            <w:vAlign w:val="center"/>
          </w:tcPr>
          <w:p>
            <w:pPr>
              <w:pStyle w:val="12"/>
            </w:pPr>
            <w:r>
              <w:t>综合业务工作任务及时性</w:t>
            </w:r>
          </w:p>
        </w:tc>
        <w:tc>
          <w:tcPr>
            <w:tcW w:w="2268" w:type="dxa"/>
            <w:vAlign w:val="center"/>
          </w:tcPr>
          <w:p>
            <w:pPr>
              <w:pStyle w:val="12"/>
            </w:pPr>
            <w:r>
              <w:t>及时完成工作</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严格遵守财务规定且不高于市场价</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办公资源循环利用率</w:t>
            </w:r>
          </w:p>
        </w:tc>
        <w:tc>
          <w:tcPr>
            <w:tcW w:w="5386" w:type="dxa"/>
            <w:vAlign w:val="center"/>
          </w:tcPr>
          <w:p>
            <w:pPr>
              <w:pStyle w:val="12"/>
            </w:pPr>
            <w:r>
              <w:t>办公资源循环利用率</w:t>
            </w:r>
          </w:p>
        </w:tc>
        <w:tc>
          <w:tcPr>
            <w:tcW w:w="2268" w:type="dxa"/>
            <w:vAlign w:val="center"/>
          </w:tcPr>
          <w:p>
            <w:pPr>
              <w:pStyle w:val="12"/>
            </w:pPr>
            <w:r>
              <w:t>≥80%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&gt;10%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促进生态文明建设，推动绿色发展和绿色生活方式</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提升行业管理水平</w:t>
            </w:r>
          </w:p>
        </w:tc>
        <w:tc>
          <w:tcPr>
            <w:tcW w:w="5386" w:type="dxa"/>
            <w:vAlign w:val="center"/>
          </w:tcPr>
          <w:p>
            <w:pPr>
              <w:pStyle w:val="12"/>
            </w:pPr>
            <w:r>
              <w:t>提升行业管理水平</w:t>
            </w:r>
          </w:p>
        </w:tc>
        <w:tc>
          <w:tcPr>
            <w:tcW w:w="2268" w:type="dxa"/>
            <w:vAlign w:val="center"/>
          </w:tcPr>
          <w:p>
            <w:pPr>
              <w:pStyle w:val="12"/>
            </w:pPr>
            <w:r>
              <w:t>提升管理水平，提升群众满意度</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培训人员满意度</w:t>
            </w:r>
          </w:p>
        </w:tc>
        <w:tc>
          <w:tcPr>
            <w:tcW w:w="2268" w:type="dxa"/>
            <w:vAlign w:val="center"/>
          </w:tcPr>
          <w:p>
            <w:pPr>
              <w:pStyle w:val="12"/>
            </w:pPr>
            <w:r>
              <w:t>≥90%</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3、法律援助绩效目标表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13022925P00004510008P</w:t>
            </w:r>
          </w:p>
        </w:tc>
        <w:tc>
          <w:tcPr>
            <w:tcW w:w="2835" w:type="dxa"/>
            <w:vAlign w:val="center"/>
          </w:tcPr>
          <w:p>
            <w:pPr>
              <w:pStyle w:val="10"/>
            </w:pPr>
            <w:r>
              <w:t>项目名称</w:t>
            </w:r>
          </w:p>
        </w:tc>
        <w:tc>
          <w:tcPr>
            <w:tcW w:w="6095" w:type="dxa"/>
            <w:gridSpan w:val="3"/>
            <w:vAlign w:val="center"/>
          </w:tcPr>
          <w:p>
            <w:pPr>
              <w:pStyle w:val="12"/>
            </w:pPr>
            <w:r>
              <w:t>法律援助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保障法律援助工作开展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1.保障法律援助工作开展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法律援助案件受理数（件)</w:t>
            </w:r>
          </w:p>
        </w:tc>
        <w:tc>
          <w:tcPr>
            <w:tcW w:w="5386" w:type="dxa"/>
            <w:vAlign w:val="center"/>
          </w:tcPr>
          <w:p>
            <w:pPr>
              <w:pStyle w:val="12"/>
            </w:pPr>
            <w:r>
              <w:t>法律援助案件受理数（件)</w:t>
            </w:r>
          </w:p>
        </w:tc>
        <w:tc>
          <w:tcPr>
            <w:tcW w:w="2268" w:type="dxa"/>
            <w:vAlign w:val="center"/>
          </w:tcPr>
          <w:p>
            <w:pPr>
              <w:pStyle w:val="12"/>
            </w:pPr>
            <w:r>
              <w:t>≥180件</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救助案例办结率（%）</w:t>
            </w:r>
          </w:p>
        </w:tc>
        <w:tc>
          <w:tcPr>
            <w:tcW w:w="5386" w:type="dxa"/>
            <w:vAlign w:val="center"/>
          </w:tcPr>
          <w:p>
            <w:pPr>
              <w:pStyle w:val="12"/>
            </w:pPr>
            <w:r>
              <w:t>救助案例办结率（%）</w:t>
            </w:r>
          </w:p>
        </w:tc>
        <w:tc>
          <w:tcPr>
            <w:tcW w:w="2268" w:type="dxa"/>
            <w:vAlign w:val="center"/>
          </w:tcPr>
          <w:p>
            <w:pPr>
              <w:pStyle w:val="12"/>
            </w:pPr>
            <w:r>
              <w:t>≥95%</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及时处理业务</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补助金额总量</w:t>
            </w:r>
          </w:p>
        </w:tc>
        <w:tc>
          <w:tcPr>
            <w:tcW w:w="5386" w:type="dxa"/>
            <w:vAlign w:val="center"/>
          </w:tcPr>
          <w:p>
            <w:pPr>
              <w:pStyle w:val="12"/>
            </w:pPr>
            <w:r>
              <w:t>补助金额总量</w:t>
            </w:r>
          </w:p>
        </w:tc>
        <w:tc>
          <w:tcPr>
            <w:tcW w:w="2268" w:type="dxa"/>
            <w:vAlign w:val="center"/>
          </w:tcPr>
          <w:p>
            <w:pPr>
              <w:pStyle w:val="12"/>
            </w:pPr>
            <w:r>
              <w:t>以预算安排资金总量为限</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岗位配置率</w:t>
            </w:r>
          </w:p>
        </w:tc>
        <w:tc>
          <w:tcPr>
            <w:tcW w:w="5386" w:type="dxa"/>
            <w:vAlign w:val="center"/>
          </w:tcPr>
          <w:p>
            <w:pPr>
              <w:pStyle w:val="12"/>
            </w:pPr>
            <w:r>
              <w:t>设立援助窗口，提高岗位配置率</w:t>
            </w:r>
          </w:p>
        </w:tc>
        <w:tc>
          <w:tcPr>
            <w:tcW w:w="2268" w:type="dxa"/>
            <w:vAlign w:val="center"/>
          </w:tcPr>
          <w:p>
            <w:pPr>
              <w:pStyle w:val="12"/>
            </w:pPr>
            <w:r>
              <w:t>设立援助窗口，提高岗位配置率</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法律援助受益人数</w:t>
            </w:r>
          </w:p>
        </w:tc>
        <w:tc>
          <w:tcPr>
            <w:tcW w:w="5386" w:type="dxa"/>
            <w:vAlign w:val="center"/>
          </w:tcPr>
          <w:p>
            <w:pPr>
              <w:pStyle w:val="12"/>
            </w:pPr>
            <w:r>
              <w:t>法律援助受益人数</w:t>
            </w:r>
          </w:p>
        </w:tc>
        <w:tc>
          <w:tcPr>
            <w:tcW w:w="2268" w:type="dxa"/>
            <w:vAlign w:val="center"/>
          </w:tcPr>
          <w:p>
            <w:pPr>
              <w:pStyle w:val="12"/>
            </w:pPr>
            <w:r>
              <w:t>≥100人</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持续提升救助水平</w:t>
            </w:r>
          </w:p>
        </w:tc>
        <w:tc>
          <w:tcPr>
            <w:tcW w:w="5386" w:type="dxa"/>
            <w:vAlign w:val="center"/>
          </w:tcPr>
          <w:p>
            <w:pPr>
              <w:pStyle w:val="12"/>
            </w:pPr>
            <w:r>
              <w:t>持续提升救助水平</w:t>
            </w:r>
          </w:p>
        </w:tc>
        <w:tc>
          <w:tcPr>
            <w:tcW w:w="2268" w:type="dxa"/>
            <w:vAlign w:val="center"/>
          </w:tcPr>
          <w:p>
            <w:pPr>
              <w:pStyle w:val="12"/>
            </w:pPr>
            <w:r>
              <w:t>持续提升救助水平</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&gt;90%</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4、法制普法宣传绩效目标表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13022925P000045100049</w:t>
            </w:r>
          </w:p>
        </w:tc>
        <w:tc>
          <w:tcPr>
            <w:tcW w:w="2835" w:type="dxa"/>
            <w:vAlign w:val="center"/>
          </w:tcPr>
          <w:p>
            <w:pPr>
              <w:pStyle w:val="10"/>
            </w:pPr>
            <w:r>
              <w:t>项目名称</w:t>
            </w:r>
          </w:p>
        </w:tc>
        <w:tc>
          <w:tcPr>
            <w:tcW w:w="6095" w:type="dxa"/>
            <w:gridSpan w:val="3"/>
            <w:vAlign w:val="center"/>
          </w:tcPr>
          <w:p>
            <w:pPr>
              <w:pStyle w:val="12"/>
            </w:pPr>
            <w:r>
              <w:t>法制普法宣传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1.保障司法业务正常开展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5386" w:type="dxa"/>
            <w:vAlign w:val="center"/>
          </w:tcPr>
          <w:p>
            <w:pPr>
              <w:pStyle w:val="12"/>
            </w:pPr>
            <w:r>
              <w:t>人民调解案件数</w:t>
            </w:r>
          </w:p>
        </w:tc>
        <w:tc>
          <w:tcPr>
            <w:tcW w:w="2268" w:type="dxa"/>
            <w:vAlign w:val="center"/>
          </w:tcPr>
          <w:p>
            <w:pPr>
              <w:pStyle w:val="12"/>
            </w:pPr>
            <w:r>
              <w:t>≥200件</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数据上报率</w:t>
            </w:r>
          </w:p>
        </w:tc>
        <w:tc>
          <w:tcPr>
            <w:tcW w:w="5386" w:type="dxa"/>
            <w:vAlign w:val="center"/>
          </w:tcPr>
          <w:p>
            <w:pPr>
              <w:pStyle w:val="12"/>
            </w:pPr>
            <w:r>
              <w:t>案件数据上报率</w:t>
            </w:r>
          </w:p>
        </w:tc>
        <w:tc>
          <w:tcPr>
            <w:tcW w:w="2268" w:type="dxa"/>
            <w:vAlign w:val="center"/>
          </w:tcPr>
          <w:p>
            <w:pPr>
              <w:pStyle w:val="12"/>
            </w:pPr>
            <w:r>
              <w:t>≥95%</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案件查处办结时限</w:t>
            </w:r>
          </w:p>
        </w:tc>
        <w:tc>
          <w:tcPr>
            <w:tcW w:w="5386" w:type="dxa"/>
            <w:vAlign w:val="center"/>
          </w:tcPr>
          <w:p>
            <w:pPr>
              <w:pStyle w:val="12"/>
            </w:pPr>
            <w:r>
              <w:t>案件查处办结时限</w:t>
            </w:r>
          </w:p>
        </w:tc>
        <w:tc>
          <w:tcPr>
            <w:tcW w:w="2268" w:type="dxa"/>
            <w:vAlign w:val="center"/>
          </w:tcPr>
          <w:p>
            <w:pPr>
              <w:pStyle w:val="12"/>
            </w:pPr>
            <w:r>
              <w:t>规定时间节点内完成</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会议培训标准</w:t>
            </w:r>
          </w:p>
        </w:tc>
        <w:tc>
          <w:tcPr>
            <w:tcW w:w="5386" w:type="dxa"/>
            <w:vAlign w:val="center"/>
          </w:tcPr>
          <w:p>
            <w:pPr>
              <w:pStyle w:val="12"/>
            </w:pPr>
            <w:r>
              <w:t>会议培训人均标准</w:t>
            </w:r>
          </w:p>
        </w:tc>
        <w:tc>
          <w:tcPr>
            <w:tcW w:w="2268" w:type="dxa"/>
            <w:vAlign w:val="center"/>
          </w:tcPr>
          <w:p>
            <w:pPr>
              <w:pStyle w:val="12"/>
            </w:pPr>
            <w:r>
              <w:t>&lt;50元</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≥80%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投诉减少率（%）</w:t>
            </w:r>
          </w:p>
        </w:tc>
        <w:tc>
          <w:tcPr>
            <w:tcW w:w="5386" w:type="dxa"/>
            <w:vAlign w:val="center"/>
          </w:tcPr>
          <w:p>
            <w:pPr>
              <w:pStyle w:val="12"/>
            </w:pPr>
            <w:r>
              <w:t>投诉减少率（%）</w:t>
            </w:r>
          </w:p>
        </w:tc>
        <w:tc>
          <w:tcPr>
            <w:tcW w:w="2268" w:type="dxa"/>
            <w:vAlign w:val="center"/>
          </w:tcPr>
          <w:p>
            <w:pPr>
              <w:pStyle w:val="12"/>
            </w:pPr>
            <w:r>
              <w:t>&gt;3%</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推动绿色发展和绿色生活方式转变</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治河北建设持续推进，司法权威得</w:t>
            </w:r>
          </w:p>
        </w:tc>
        <w:tc>
          <w:tcPr>
            <w:tcW w:w="5386" w:type="dxa"/>
            <w:vAlign w:val="center"/>
          </w:tcPr>
          <w:p>
            <w:pPr>
              <w:pStyle w:val="12"/>
            </w:pPr>
            <w:r>
              <w:t>治河北建设持续推进，司法权威得到维护</w:t>
            </w:r>
          </w:p>
        </w:tc>
        <w:tc>
          <w:tcPr>
            <w:tcW w:w="2268" w:type="dxa"/>
            <w:vAlign w:val="center"/>
          </w:tcPr>
          <w:p>
            <w:pPr>
              <w:pStyle w:val="12"/>
            </w:pPr>
            <w:r>
              <w:t>治河北建设持续推进，司法权威得到维护</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残疾人法律援助及救助服务满意度</w:t>
            </w:r>
          </w:p>
        </w:tc>
        <w:tc>
          <w:tcPr>
            <w:tcW w:w="5386" w:type="dxa"/>
            <w:vAlign w:val="center"/>
          </w:tcPr>
          <w:p>
            <w:pPr>
              <w:pStyle w:val="12"/>
            </w:pPr>
            <w:r>
              <w:t>残疾人法律援助及救助服务满意度</w:t>
            </w:r>
          </w:p>
        </w:tc>
        <w:tc>
          <w:tcPr>
            <w:tcW w:w="2268" w:type="dxa"/>
            <w:vAlign w:val="center"/>
          </w:tcPr>
          <w:p>
            <w:pPr>
              <w:pStyle w:val="12"/>
            </w:pPr>
            <w:r>
              <w:t>≥90%</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5、法治与行政复议绩效目标表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13022925P00004510003M</w:t>
            </w:r>
          </w:p>
        </w:tc>
        <w:tc>
          <w:tcPr>
            <w:tcW w:w="2835" w:type="dxa"/>
            <w:vAlign w:val="center"/>
          </w:tcPr>
          <w:p>
            <w:pPr>
              <w:pStyle w:val="10"/>
            </w:pPr>
            <w:r>
              <w:t>项目名称</w:t>
            </w:r>
          </w:p>
        </w:tc>
        <w:tc>
          <w:tcPr>
            <w:tcW w:w="6095" w:type="dxa"/>
            <w:gridSpan w:val="3"/>
            <w:vAlign w:val="center"/>
          </w:tcPr>
          <w:p>
            <w:pPr>
              <w:pStyle w:val="12"/>
            </w:pPr>
            <w:r>
              <w:t>法治与行政复议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w:t>
            </w:r>
          </w:p>
        </w:tc>
        <w:tc>
          <w:tcPr>
            <w:tcW w:w="2835" w:type="dxa"/>
            <w:vAlign w:val="center"/>
          </w:tcPr>
          <w:p>
            <w:pPr>
              <w:pStyle w:val="10"/>
            </w:pPr>
            <w:r>
              <w:t>其中：财政    资金</w:t>
            </w:r>
          </w:p>
        </w:tc>
        <w:tc>
          <w:tcPr>
            <w:tcW w:w="2551" w:type="dxa"/>
            <w:vAlign w:val="center"/>
          </w:tcPr>
          <w:p>
            <w:pPr>
              <w:pStyle w:val="12"/>
            </w:pPr>
            <w:r>
              <w:t>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1.保障司法业务正常开展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受理法律案件咨询数</w:t>
            </w:r>
          </w:p>
        </w:tc>
        <w:tc>
          <w:tcPr>
            <w:tcW w:w="5386" w:type="dxa"/>
            <w:vAlign w:val="center"/>
          </w:tcPr>
          <w:p>
            <w:pPr>
              <w:pStyle w:val="12"/>
            </w:pPr>
            <w:r>
              <w:t>受理法律案件咨询数</w:t>
            </w:r>
          </w:p>
        </w:tc>
        <w:tc>
          <w:tcPr>
            <w:tcW w:w="2268" w:type="dxa"/>
            <w:vAlign w:val="center"/>
          </w:tcPr>
          <w:p>
            <w:pPr>
              <w:pStyle w:val="12"/>
            </w:pPr>
            <w:r>
              <w:t>≥50件</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案件办结率</w:t>
            </w:r>
          </w:p>
        </w:tc>
        <w:tc>
          <w:tcPr>
            <w:tcW w:w="2268" w:type="dxa"/>
            <w:vAlign w:val="center"/>
          </w:tcPr>
          <w:p>
            <w:pPr>
              <w:pStyle w:val="12"/>
            </w:pPr>
            <w:r>
              <w:t>&gt;92%</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办公设备采购完成时间</w:t>
            </w:r>
          </w:p>
        </w:tc>
        <w:tc>
          <w:tcPr>
            <w:tcW w:w="5386" w:type="dxa"/>
            <w:vAlign w:val="center"/>
          </w:tcPr>
          <w:p>
            <w:pPr>
              <w:pStyle w:val="12"/>
            </w:pPr>
            <w:r>
              <w:t>办公设备采购完成时间</w:t>
            </w:r>
          </w:p>
        </w:tc>
        <w:tc>
          <w:tcPr>
            <w:tcW w:w="2268" w:type="dxa"/>
            <w:vAlign w:val="center"/>
          </w:tcPr>
          <w:p>
            <w:pPr>
              <w:pStyle w:val="12"/>
            </w:pPr>
            <w:r>
              <w:t>及时采购，确保正常及时使用</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&lt;100元</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&gt;5万元</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重大负面舆情和事件次数</w:t>
            </w:r>
          </w:p>
        </w:tc>
        <w:tc>
          <w:tcPr>
            <w:tcW w:w="5386" w:type="dxa"/>
            <w:vAlign w:val="center"/>
          </w:tcPr>
          <w:p>
            <w:pPr>
              <w:pStyle w:val="12"/>
            </w:pPr>
            <w:r>
              <w:t>重大负面舆情和事件次数</w:t>
            </w:r>
          </w:p>
        </w:tc>
        <w:tc>
          <w:tcPr>
            <w:tcW w:w="2268" w:type="dxa"/>
            <w:vAlign w:val="center"/>
          </w:tcPr>
          <w:p>
            <w:pPr>
              <w:pStyle w:val="12"/>
            </w:pPr>
            <w:r>
              <w:t>≤1次</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通过法律宣传绿色生产方式受益人次</w:t>
            </w:r>
          </w:p>
        </w:tc>
        <w:tc>
          <w:tcPr>
            <w:tcW w:w="2268" w:type="dxa"/>
            <w:vAlign w:val="center"/>
          </w:tcPr>
          <w:p>
            <w:pPr>
              <w:pStyle w:val="12"/>
            </w:pPr>
            <w:r>
              <w:t>≥500人</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持续提升我局社会影响力</w:t>
            </w:r>
          </w:p>
        </w:tc>
        <w:tc>
          <w:tcPr>
            <w:tcW w:w="5386" w:type="dxa"/>
            <w:vAlign w:val="center"/>
          </w:tcPr>
          <w:p>
            <w:pPr>
              <w:pStyle w:val="12"/>
            </w:pPr>
            <w:r>
              <w:t>持续提升我局社会影响力</w:t>
            </w:r>
          </w:p>
        </w:tc>
        <w:tc>
          <w:tcPr>
            <w:tcW w:w="2268" w:type="dxa"/>
            <w:vAlign w:val="center"/>
          </w:tcPr>
          <w:p>
            <w:pPr>
              <w:pStyle w:val="12"/>
            </w:pPr>
            <w:r>
              <w:t>持续提升我局社会影响力</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调研</w:t>
            </w:r>
          </w:p>
        </w:tc>
      </w:tr>
    </w:tbl>
    <w:p>
      <w:pPr>
        <w:spacing w:before="0" w:after="0"/>
        <w:ind w:firstLine="560"/>
        <w:jc w:val="left"/>
        <w:outlineLvl w:val="9"/>
        <w:rPr>
          <w:rFonts w:hint="default" w:eastAsia="方正仿宋_GBK"/>
          <w:lang w:val="en-US" w:eastAsia="zh-CN"/>
        </w:rPr>
      </w:pPr>
    </w:p>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-13号项目信息因涉及保密要求，项目绩效目标暂不公开。</w:t>
      </w:r>
    </w:p>
    <w:p>
      <w:pPr>
        <w:spacing w:before="0" w:after="0"/>
        <w:ind w:firstLine="560"/>
        <w:jc w:val="left"/>
        <w:outlineLvl w:val="9"/>
      </w:pPr>
      <w:r>
        <w:rPr>
          <w:rFonts w:ascii="方正仿宋_GBK" w:hAnsi="方正仿宋_GBK" w:eastAsia="方正仿宋_GBK" w:cs="方正仿宋_GBK"/>
          <w:b/>
          <w:color w:val="000000"/>
          <w:sz w:val="28"/>
        </w:rPr>
        <w:t>14、人民调解绩效目标表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13022925P00004510001E</w:t>
            </w:r>
          </w:p>
        </w:tc>
        <w:tc>
          <w:tcPr>
            <w:tcW w:w="2835" w:type="dxa"/>
            <w:vAlign w:val="center"/>
          </w:tcPr>
          <w:p>
            <w:pPr>
              <w:pStyle w:val="10"/>
            </w:pPr>
            <w:r>
              <w:t>项目名称</w:t>
            </w:r>
          </w:p>
        </w:tc>
        <w:tc>
          <w:tcPr>
            <w:tcW w:w="6095" w:type="dxa"/>
            <w:gridSpan w:val="3"/>
            <w:vAlign w:val="center"/>
          </w:tcPr>
          <w:p>
            <w:pPr>
              <w:pStyle w:val="12"/>
            </w:pPr>
            <w:r>
              <w:t>人民调解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保障基层人民调解业务正常开展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1.保障基层人民调解业务正常开展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5386" w:type="dxa"/>
            <w:vAlign w:val="center"/>
          </w:tcPr>
          <w:p>
            <w:pPr>
              <w:pStyle w:val="12"/>
            </w:pPr>
            <w:r>
              <w:t>人民调解案件数</w:t>
            </w:r>
          </w:p>
        </w:tc>
        <w:tc>
          <w:tcPr>
            <w:tcW w:w="2268" w:type="dxa"/>
            <w:vAlign w:val="center"/>
          </w:tcPr>
          <w:p>
            <w:pPr>
              <w:pStyle w:val="12"/>
            </w:pPr>
            <w:r>
              <w:t>≥120件</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劳动人事争议调解成功率</w:t>
            </w:r>
          </w:p>
        </w:tc>
        <w:tc>
          <w:tcPr>
            <w:tcW w:w="5386" w:type="dxa"/>
            <w:vAlign w:val="center"/>
          </w:tcPr>
          <w:p>
            <w:pPr>
              <w:pStyle w:val="12"/>
            </w:pPr>
            <w:r>
              <w:t>劳动人事争议调解成功率</w:t>
            </w:r>
          </w:p>
        </w:tc>
        <w:tc>
          <w:tcPr>
            <w:tcW w:w="2268" w:type="dxa"/>
            <w:vAlign w:val="center"/>
          </w:tcPr>
          <w:p>
            <w:pPr>
              <w:pStyle w:val="12"/>
            </w:pPr>
            <w:r>
              <w:t>&gt;60%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案件查处办结时限</w:t>
            </w:r>
          </w:p>
        </w:tc>
        <w:tc>
          <w:tcPr>
            <w:tcW w:w="5386" w:type="dxa"/>
            <w:vAlign w:val="center"/>
          </w:tcPr>
          <w:p>
            <w:pPr>
              <w:pStyle w:val="12"/>
            </w:pPr>
            <w:r>
              <w:t>案件查处办结时限</w:t>
            </w:r>
          </w:p>
        </w:tc>
        <w:tc>
          <w:tcPr>
            <w:tcW w:w="2268" w:type="dxa"/>
            <w:vAlign w:val="center"/>
          </w:tcPr>
          <w:p>
            <w:pPr>
              <w:pStyle w:val="12"/>
            </w:pPr>
            <w:r>
              <w:t>争取在最短时间内办结</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5386" w:type="dxa"/>
            <w:vAlign w:val="center"/>
          </w:tcPr>
          <w:p>
            <w:pPr>
              <w:pStyle w:val="12"/>
            </w:pPr>
            <w:r>
              <w:t>补贴发放标准</w:t>
            </w:r>
          </w:p>
        </w:tc>
        <w:tc>
          <w:tcPr>
            <w:tcW w:w="2268" w:type="dxa"/>
            <w:vAlign w:val="center"/>
          </w:tcPr>
          <w:p>
            <w:pPr>
              <w:pStyle w:val="12"/>
            </w:pPr>
            <w:r>
              <w:t>≤8000元</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办公资源循环利用率</w:t>
            </w:r>
          </w:p>
        </w:tc>
        <w:tc>
          <w:tcPr>
            <w:tcW w:w="5386" w:type="dxa"/>
            <w:vAlign w:val="center"/>
          </w:tcPr>
          <w:p>
            <w:pPr>
              <w:pStyle w:val="12"/>
            </w:pPr>
            <w:r>
              <w:t>办公资源循环利用率</w:t>
            </w:r>
          </w:p>
        </w:tc>
        <w:tc>
          <w:tcPr>
            <w:tcW w:w="2268" w:type="dxa"/>
            <w:vAlign w:val="center"/>
          </w:tcPr>
          <w:p>
            <w:pPr>
              <w:pStyle w:val="12"/>
            </w:pPr>
            <w:r>
              <w:t>&gt;70%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社会稳定水平持续提升</w:t>
            </w:r>
          </w:p>
        </w:tc>
        <w:tc>
          <w:tcPr>
            <w:tcW w:w="2268" w:type="dxa"/>
            <w:vAlign w:val="center"/>
          </w:tcPr>
          <w:p>
            <w:pPr>
              <w:pStyle w:val="12"/>
            </w:pPr>
            <w:r>
              <w:t>社会稳定水平持续提升</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水资源利用率</w:t>
            </w:r>
          </w:p>
        </w:tc>
        <w:tc>
          <w:tcPr>
            <w:tcW w:w="5386" w:type="dxa"/>
            <w:vAlign w:val="center"/>
          </w:tcPr>
          <w:p>
            <w:pPr>
              <w:pStyle w:val="12"/>
            </w:pPr>
            <w:r>
              <w:t>水资源利用率</w:t>
            </w:r>
          </w:p>
        </w:tc>
        <w:tc>
          <w:tcPr>
            <w:tcW w:w="2268" w:type="dxa"/>
            <w:vAlign w:val="center"/>
          </w:tcPr>
          <w:p>
            <w:pPr>
              <w:pStyle w:val="12"/>
            </w:pPr>
            <w:r>
              <w:t>&gt;90%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提高劳动人事争议调解仲裁的水平</w:t>
            </w:r>
          </w:p>
        </w:tc>
        <w:tc>
          <w:tcPr>
            <w:tcW w:w="5386" w:type="dxa"/>
            <w:vAlign w:val="center"/>
          </w:tcPr>
          <w:p>
            <w:pPr>
              <w:pStyle w:val="12"/>
            </w:pPr>
            <w:r>
              <w:t>提高劳动人事争议调解仲裁的水平</w:t>
            </w:r>
          </w:p>
        </w:tc>
        <w:tc>
          <w:tcPr>
            <w:tcW w:w="2268" w:type="dxa"/>
            <w:vAlign w:val="center"/>
          </w:tcPr>
          <w:p>
            <w:pPr>
              <w:pStyle w:val="12"/>
            </w:pPr>
            <w:r>
              <w:t>&gt;5%</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受训人员满意度</w:t>
            </w:r>
          </w:p>
        </w:tc>
        <w:tc>
          <w:tcPr>
            <w:tcW w:w="5386" w:type="dxa"/>
            <w:vAlign w:val="center"/>
          </w:tcPr>
          <w:p>
            <w:pPr>
              <w:pStyle w:val="12"/>
            </w:pPr>
            <w:r>
              <w:t>参加陪训人员满意度</w:t>
            </w:r>
          </w:p>
        </w:tc>
        <w:tc>
          <w:tcPr>
            <w:tcW w:w="2268" w:type="dxa"/>
            <w:vAlign w:val="center"/>
          </w:tcPr>
          <w:p>
            <w:pPr>
              <w:pStyle w:val="12"/>
            </w:pPr>
            <w:r>
              <w:t>&gt;90%</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15、刑事安置帮教绩效目标表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13022925P00004510005W</w:t>
            </w:r>
          </w:p>
        </w:tc>
        <w:tc>
          <w:tcPr>
            <w:tcW w:w="2835" w:type="dxa"/>
            <w:vAlign w:val="center"/>
          </w:tcPr>
          <w:p>
            <w:pPr>
              <w:pStyle w:val="10"/>
            </w:pPr>
            <w:r>
              <w:t>项目名称</w:t>
            </w:r>
          </w:p>
        </w:tc>
        <w:tc>
          <w:tcPr>
            <w:tcW w:w="6095" w:type="dxa"/>
            <w:gridSpan w:val="3"/>
            <w:vAlign w:val="center"/>
          </w:tcPr>
          <w:p>
            <w:pPr>
              <w:pStyle w:val="12"/>
            </w:pPr>
            <w:r>
              <w:t>刑事安置帮教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    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保障司法业务正常开展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1.保障司法业务正常开展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安置帮教率</w:t>
            </w:r>
          </w:p>
        </w:tc>
        <w:tc>
          <w:tcPr>
            <w:tcW w:w="5386" w:type="dxa"/>
            <w:vAlign w:val="center"/>
          </w:tcPr>
          <w:p>
            <w:pPr>
              <w:pStyle w:val="12"/>
            </w:pPr>
            <w:r>
              <w:t>安置帮教率</w:t>
            </w:r>
          </w:p>
        </w:tc>
        <w:tc>
          <w:tcPr>
            <w:tcW w:w="2268" w:type="dxa"/>
            <w:vAlign w:val="center"/>
          </w:tcPr>
          <w:p>
            <w:pPr>
              <w:pStyle w:val="12"/>
            </w:pPr>
            <w:r>
              <w:t>100%</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走访慰问率</w:t>
            </w:r>
          </w:p>
        </w:tc>
        <w:tc>
          <w:tcPr>
            <w:tcW w:w="5386" w:type="dxa"/>
            <w:vAlign w:val="center"/>
          </w:tcPr>
          <w:p>
            <w:pPr>
              <w:pStyle w:val="12"/>
            </w:pPr>
            <w:r>
              <w:t>走访安置帮教对象次数</w:t>
            </w:r>
          </w:p>
        </w:tc>
        <w:tc>
          <w:tcPr>
            <w:tcW w:w="2268" w:type="dxa"/>
            <w:vAlign w:val="center"/>
          </w:tcPr>
          <w:p>
            <w:pPr>
              <w:pStyle w:val="12"/>
            </w:pPr>
            <w:r>
              <w:t>&gt;5次</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98%</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人均办公费成本</w:t>
            </w:r>
          </w:p>
        </w:tc>
        <w:tc>
          <w:tcPr>
            <w:tcW w:w="2268" w:type="dxa"/>
            <w:vAlign w:val="center"/>
          </w:tcPr>
          <w:p>
            <w:pPr>
              <w:pStyle w:val="12"/>
            </w:pPr>
            <w:r>
              <w:t>≥400元</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充分发挥资金效用</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政府采购节支率</w:t>
            </w:r>
          </w:p>
        </w:tc>
        <w:tc>
          <w:tcPr>
            <w:tcW w:w="5386" w:type="dxa"/>
            <w:vAlign w:val="center"/>
          </w:tcPr>
          <w:p>
            <w:pPr>
              <w:pStyle w:val="12"/>
            </w:pPr>
            <w:r>
              <w:t>政府采购节支率</w:t>
            </w:r>
          </w:p>
        </w:tc>
        <w:tc>
          <w:tcPr>
            <w:tcW w:w="2268" w:type="dxa"/>
            <w:vAlign w:val="center"/>
          </w:tcPr>
          <w:p>
            <w:pPr>
              <w:pStyle w:val="12"/>
            </w:pPr>
            <w:r>
              <w:t>&gt;2%</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促进生态文明建设，推动绿色发展和绿色生活方式</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提升公共服务水平和质量</w:t>
            </w:r>
          </w:p>
        </w:tc>
        <w:tc>
          <w:tcPr>
            <w:tcW w:w="1276" w:type="dxa"/>
            <w:vAlign w:val="center"/>
          </w:tcPr>
          <w:p>
            <w:pPr>
              <w:pStyle w:val="12"/>
            </w:pPr>
            <w:r>
              <w:t>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315001玉田县司法局本级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53000.00</w:t>
            </w:r>
          </w:p>
        </w:tc>
        <w:tc>
          <w:tcPr>
            <w:tcW w:w="1134" w:type="dxa"/>
            <w:vAlign w:val="center"/>
          </w:tcPr>
          <w:p>
            <w:pPr>
              <w:pStyle w:val="12"/>
              <w:rPr>
                <w:rFonts w:hint="eastAsia" w:eastAsia="方正书宋_GBK"/>
                <w:lang w:eastAsia="zh-CN"/>
              </w:rPr>
            </w:pPr>
            <w:r>
              <w:rPr>
                <w:rFonts w:hint="eastAsia"/>
                <w:lang w:eastAsia="zh-CN"/>
              </w:rPr>
              <w:t>服务</w:t>
            </w: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53000.00</w:t>
            </w:r>
          </w:p>
        </w:tc>
        <w:tc>
          <w:tcPr>
            <w:tcW w:w="964" w:type="dxa"/>
            <w:vAlign w:val="center"/>
          </w:tcPr>
          <w:p>
            <w:pPr>
              <w:pStyle w:val="11"/>
              <w:rPr>
                <w:rFonts w:hint="default" w:eastAsia="方正书宋_GBK"/>
                <w:lang w:val="en-US" w:eastAsia="zh-CN"/>
              </w:rPr>
            </w:pPr>
            <w:r>
              <w:rPr>
                <w:rFonts w:hint="eastAsia"/>
                <w:lang w:val="en-US" w:eastAsia="zh-CN"/>
              </w:rPr>
              <w:t>53000.00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53000.00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玉田县司法局本级上年末固定资产金额为2774606.89元（详见下表）。本年度拟购置固定资产总额为0.00万元，已按要求列入政府采购预算，详见政府采购预算表。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315001玉田县司法局本级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2774606.89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733925.00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944</w:t>
            </w:r>
          </w:p>
        </w:tc>
        <w:tc>
          <w:tcPr>
            <w:tcW w:w="2835" w:type="dxa"/>
            <w:vAlign w:val="center"/>
          </w:tcPr>
          <w:p>
            <w:pPr>
              <w:pStyle w:val="11"/>
            </w:pPr>
            <w:r>
              <w:t>2040681.89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1020AA"/>
    <w:rsid w:val="053361A2"/>
    <w:rsid w:val="065751F3"/>
    <w:rsid w:val="083E7D3D"/>
    <w:rsid w:val="08E510A5"/>
    <w:rsid w:val="0DC50BB6"/>
    <w:rsid w:val="133A44C3"/>
    <w:rsid w:val="160733B1"/>
    <w:rsid w:val="17FF34EC"/>
    <w:rsid w:val="19271D4F"/>
    <w:rsid w:val="1A027439"/>
    <w:rsid w:val="1D584E71"/>
    <w:rsid w:val="1EFE40DD"/>
    <w:rsid w:val="272E2055"/>
    <w:rsid w:val="2E675CC8"/>
    <w:rsid w:val="2E953936"/>
    <w:rsid w:val="2F2C2F2C"/>
    <w:rsid w:val="3B227089"/>
    <w:rsid w:val="3B4A4ABB"/>
    <w:rsid w:val="3CF86493"/>
    <w:rsid w:val="49F50D2B"/>
    <w:rsid w:val="52901BAF"/>
    <w:rsid w:val="58C71584"/>
    <w:rsid w:val="5BA219EB"/>
    <w:rsid w:val="5E390B58"/>
    <w:rsid w:val="628B71A8"/>
    <w:rsid w:val="629943FC"/>
    <w:rsid w:val="6D246165"/>
    <w:rsid w:val="75D207A6"/>
    <w:rsid w:val="774175B4"/>
    <w:rsid w:val="7D314F7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TotalTime>20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2025-01-20T18:22:00Z</dcterms:created>
  <dc:creator>Administrator</dc:creator>
  <cp:lastModifiedBy>Administrator</cp:lastModifiedBy>
  <dcterms:modified xsi:type="dcterms:W3CDTF">2025-01-24T04:57:28Z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A0476538FA664B2AA60E0C2F9F21CA2E</vt:lpwstr>
  </property>
</Properties>
</file>