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玉田县看守所</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2025年部门预算绩效文本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玉田县看守所编制</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r>
        <w:rPr>
          <w:rFonts w:ascii="方正楷体_GBK" w:eastAsia="方正楷体_GBK" w:hAnsi="方正楷体_GBK" w:cs="方正楷体_GBK"/>
          <w:b/>
          <w:color w:val="000000"/>
          <w:sz w:val="32"/>
        </w:rPr>
        <w:t xml:space="preserve">玉田县财政局审核</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t xml:space="preserve">二、分项绩效目标</w:t>
        </w:r>
        <w:r>
          <w:tab/>
        </w:r>
        <w:r>
          <w:fldChar w:fldCharType="begin"/>
        </w:r>
        <w:r>
          <w:instrText xml:space="preserve">PAGEREF _Toc_2_2_0000000002 \h</w:instrText>
        </w:r>
        <w:r>
          <w:fldChar w:fldCharType="separate"/>
        </w:r>
        <w:r>
          <w:t xml:space="preserve">1</w:t>
        </w:r>
        <w:r>
          <w:fldChar w:fldCharType="end"/>
        </w:r>
      </w:hyperlink>
    </w:p>
    <w:p>
      <w:pPr>
        <w:pStyle w:val="TOC1"/>
        <w:tabs>
          <w:tab w:val="right" w:leader="dot" w:pos="9282"/>
        </w:tabs>
      </w:pPr>
      <w:hyperlink w:anchor="_Toc_2_2_0000000003" w:history="1">
        <w:r>
          <w:t xml:space="preserve">三、工作保障措施</w:t>
        </w:r>
        <w:r>
          <w:tab/>
        </w:r>
        <w:r>
          <w:fldChar w:fldCharType="begin"/>
        </w:r>
        <w:r>
          <w:instrText xml:space="preserve">PAGEREF _Toc_2_2_0000000003 \h</w:instrText>
        </w:r>
        <w:r>
          <w:fldChar w:fldCharType="separate"/>
        </w:r>
        <w:r>
          <w:t xml:space="preserve">2</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t xml:space="preserve">1.人犯公杂费绩效目标表</w:t>
        </w:r>
        <w:r>
          <w:tab/>
        </w:r>
        <w:r>
          <w:fldChar w:fldCharType="begin"/>
        </w:r>
        <w:r>
          <w:instrText xml:space="preserve">PAGEREF _Toc_4_4_0000000004 \h</w:instrText>
        </w:r>
        <w:r>
          <w:fldChar w:fldCharType="separate"/>
        </w:r>
        <w:r>
          <w:t xml:space="preserve">5</w:t>
        </w:r>
        <w:r>
          <w:fldChar w:fldCharType="end"/>
        </w:r>
      </w:hyperlink>
    </w:p>
    <w:p>
      <w:pPr>
        <w:pStyle w:val="TOC1"/>
        <w:tabs>
          <w:tab w:val="right" w:leader="dot" w:pos="9282"/>
        </w:tabs>
      </w:pPr>
      <w:hyperlink w:anchor="_Toc_4_4_0000000005" w:history="1">
        <w:r>
          <w:t xml:space="preserve">2.人犯伙食费绩效目标表</w:t>
        </w:r>
        <w:r>
          <w:tab/>
        </w:r>
        <w:r>
          <w:fldChar w:fldCharType="begin"/>
        </w:r>
        <w:r>
          <w:instrText xml:space="preserve">PAGEREF _Toc_4_4_0000000005 \h</w:instrText>
        </w:r>
        <w:r>
          <w:fldChar w:fldCharType="separate"/>
        </w:r>
        <w:r>
          <w:t xml:space="preserve">6</w:t>
        </w:r>
        <w:r>
          <w:fldChar w:fldCharType="end"/>
        </w:r>
      </w:hyperlink>
    </w:p>
    <w:p>
      <w:pPr>
        <w:pStyle w:val="TOC1"/>
        <w:tabs>
          <w:tab w:val="right" w:leader="dot" w:pos="9282"/>
        </w:tabs>
      </w:pPr>
      <w:hyperlink w:anchor="_Toc_4_4_0000000006" w:history="1">
        <w:r>
          <w:t xml:space="preserve">3.人犯医疗费、衣被费等绩效目标表</w:t>
        </w:r>
        <w:r>
          <w:tab/>
        </w:r>
        <w:r>
          <w:fldChar w:fldCharType="begin"/>
        </w:r>
        <w:r>
          <w:instrText xml:space="preserve">PAGEREF _Toc_4_4_0000000006 \h</w:instrText>
        </w:r>
        <w:r>
          <w:fldChar w:fldCharType="separate"/>
        </w:r>
        <w:r>
          <w:t xml:space="preserve">7</w:t>
        </w:r>
        <w:r>
          <w:fldChar w:fldCharType="end"/>
        </w:r>
      </w:hyperlink>
    </w:p>
    <w:p>
      <w:pPr>
        <w:pStyle w:val="TOC1"/>
        <w:tabs>
          <w:tab w:val="right" w:leader="dot" w:pos="9282"/>
        </w:tabs>
      </w:pPr>
      <w:hyperlink w:anchor="_Toc_4_4_0000000007" w:history="1">
        <w:r>
          <w:t xml:space="preserve">4.武警中队建设经费绩效目标表</w:t>
        </w:r>
        <w:r>
          <w:tab/>
        </w:r>
        <w:r>
          <w:fldChar w:fldCharType="begin"/>
        </w:r>
        <w:r>
          <w:instrText xml:space="preserve">PAGEREF _Toc_4_4_0000000007 \h</w:instrText>
        </w:r>
        <w:r>
          <w:fldChar w:fldCharType="separate"/>
        </w:r>
        <w:r>
          <w:t xml:space="preserve">8</w:t>
        </w:r>
        <w:r>
          <w:fldChar w:fldCharType="end"/>
        </w:r>
      </w:hyperlink>
    </w:p>
    <w:p>
      <w:pPr/>
      <w:r>
        <w:fldChar w:fldCharType="end"/>
      </w:r>
    </w:p>
    <w:p>
      <w:pPr>
        <w:sectPr>
          <w:footerReference w:type="even" r:id="rId1"/>
          <w:footerReference w:type="default" r:id="rId2"/>
          <w:type w:val="nextPage"/>
          <w:pgSz w:w="11900" w:h="16840" w:orient="portrait"/>
          <w:pgMar w:top="1984" w:right="1304" w:bottom="1134" w:left="1304" w:header="720" w:footer="720" w:gutter="0"/>
          <w:pgBorders/>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p>
    <w:p>
      <w:pPr>
        <w:pStyle w:val="插入文本样式-插入总体目标文件"/>
      </w:pPr>
      <w:r>
        <w:t xml:space="preserve">玉田县看守所负责全县公安监管场所业务工作及在押人员的监管教育、安全防范工作，查处安全事故；负责监所硬件设施建设；做好教育感化深挖犯罪工作。</w:t>
      </w:r>
    </w:p>
    <w:p>
      <w:pPr>
        <w:pStyle w:val="插入文本样式-插入总体目标文件"/>
      </w:pPr>
      <w:r>
        <w:t xml:space="preserve">看守所的核心职责：确保被监管人员的安全，维护看守所的秩序以及协助司法程序顺利进行。绩效目标包括：减少被监管人员的再犯罪率，提高司法程序的效率，改善被监管人员的生活、医疗等条件以及提升工作人员的满意度。实现这些绩效目标可使公安监所管理和安全防范水平不断提升；监所按照相关标准做好硬件设施建设、被监管人员生活、卫生、医疗保障工作；做好监所信息化建设；不断提高监所卫生医疗水平；积极开展深挖犯罪工作，破获各类案件。</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确保监管场所不断提升管理教育与安全防范水平，努力把监管场所建设成为安全规范管理、展示法治文明窗口的重要单位；</w:t>
      </w:r>
    </w:p>
    <w:p>
      <w:pPr>
        <w:pStyle w:val="插入文本样式-插入职责分类绩效目标文件"/>
      </w:pPr>
      <w:r>
        <w:t xml:space="preserve">（一）做公安监所管理和安全防范水平不断提升</w:t>
      </w:r>
    </w:p>
    <w:p>
      <w:pPr>
        <w:pStyle w:val="插入文本样式-插入职责分类绩效目标文件"/>
      </w:pPr>
      <w:r>
        <w:t xml:space="preserve">绩效目标：监管安全事故率</w:t>
      </w:r>
    </w:p>
    <w:p>
      <w:pPr>
        <w:pStyle w:val="插入文本样式-插入职责分类绩效目标文件"/>
      </w:pPr>
      <w:r>
        <w:t xml:space="preserve">绩效指标：安全事故率为5（‰）为差，3（‰）为中，1（‰）为良，0（‰）为优</w:t>
      </w:r>
    </w:p>
    <w:p>
      <w:pPr>
        <w:pStyle w:val="插入文本样式-插入职责分类绩效目标文件"/>
      </w:pPr>
    </w:p>
    <w:p>
      <w:pPr>
        <w:pStyle w:val="插入文本样式-插入职责分类绩效目标文件"/>
      </w:pPr>
      <w:r>
        <w:t xml:space="preserve">（二）做好深挖犯罪案件收集、甄别、转递、查证、反馈等工作。</w:t>
      </w:r>
    </w:p>
    <w:p>
      <w:pPr>
        <w:pStyle w:val="插入文本样式-插入职责分类绩效目标文件"/>
      </w:pPr>
      <w:r>
        <w:t xml:space="preserve">绩效目标：通过教育感化深挖犯罪，破获部督案件、省督案件、网上追逃、命案等各类案件的比率。</w:t>
      </w:r>
    </w:p>
    <w:p>
      <w:pPr>
        <w:pStyle w:val="插入文本样式-插入职责分类绩效目标文件"/>
      </w:pPr>
      <w:r>
        <w:t xml:space="preserve">绩效指标：教育感化破案率0（%）为差，2（%）为中，5（%）为良，8（%）为优</w:t>
      </w:r>
    </w:p>
    <w:p>
      <w:pPr>
        <w:pStyle w:val="插入文本样式-插入职责分类绩效目标文件"/>
      </w:pPr>
    </w:p>
    <w:p>
      <w:pPr>
        <w:pStyle w:val="插入文本样式-插入职责分类绩效目标文件"/>
      </w:pPr>
      <w:r>
        <w:t xml:space="preserve">（三）监所按照相关标准做好硬件设施建设、被监管人员生活、卫生、医疗保障工作；不断提高监所卫生医疗水平</w:t>
      </w:r>
    </w:p>
    <w:p>
      <w:pPr>
        <w:pStyle w:val="插入文本样式-插入职责分类绩效目标文件"/>
      </w:pPr>
      <w:r>
        <w:t xml:space="preserve">绩效目标：被监管人员患病死亡率</w:t>
      </w:r>
    </w:p>
    <w:p>
      <w:pPr>
        <w:pStyle w:val="插入文本样式-插入职责分类绩效目标文件"/>
      </w:pPr>
      <w:r>
        <w:t xml:space="preserve">绩效指标：被监管人员患病死亡率5（‰）为差，3（‰）为中，1（‰）为良，0（‰）为优</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工作保障</w:t>
      </w:r>
    </w:p>
    <w:p>
      <w:pPr>
        <w:pStyle w:val="插入文本样式-插入实现年度发展规划目标的保障措施文件"/>
      </w:pPr>
      <w:r>
        <w:t xml:space="preserve">完善制度建设。（包括制定完善预算绩效管理制度、资金管理办法、工作保障制度等，为全年预算绩效目标的实现奠定制度基础。）</w:t>
      </w:r>
    </w:p>
    <w:p>
      <w:pPr>
        <w:pStyle w:val="插入文本样式-插入实现年度发展规划目标的保障措施文件"/>
      </w:pPr>
      <w:r>
        <w:t xml:space="preserve">加强支出管理。（通过优化支出结构、编细编实预算、加快履行政府采购手续、尽快启动项目、及时支付资金、6月底前细化代编预算、按规定及时下达资金等多种措施，确保支出进度达标。）</w:t>
      </w:r>
    </w:p>
    <w:p>
      <w:pPr>
        <w:pStyle w:val="插入文本样式-插入实现年度发展规划目标的保障措施文件"/>
      </w:pPr>
      <w:r>
        <w:t xml:space="preserve">加强绩效运行监控。按要求开展绩效运行监控，发现问题及时采取措施，确保绩效目标如期保质实现。</w:t>
      </w:r>
    </w:p>
    <w:p>
      <w:pPr>
        <w:pStyle w:val="插入文本样式-插入实现年度发展规划目标的保障措施文件"/>
      </w:pPr>
      <w:r>
        <w:t xml:space="preserve">做好绩效自评。（按要求开展上年度部门预算绩效自评和重点评价工作，对评价中发现的问题及时整改，调整优化支出结构，提高财政资金使用效益。）</w:t>
      </w:r>
    </w:p>
    <w:p>
      <w:pPr>
        <w:pStyle w:val="插入文本样式-插入实现年度发展规划目标的保障措施文件"/>
      </w:pPr>
      <w:r>
        <w:t xml:space="preserve">规范财务资产管理。（完善财务管理制度，严格审批程序，加强固定资产登记、使用和报废处置管理，做到支出合理，物尽其用。）</w:t>
      </w:r>
    </w:p>
    <w:p>
      <w:pPr>
        <w:pStyle w:val="插入文本样式-插入实现年度发展规划目标的保障措施文件"/>
      </w:pPr>
      <w:r>
        <w:t xml:space="preserve">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插入文本样式-插入实现年度发展规划目标的保障措施文件"/>
      </w:pPr>
      <w:r>
        <w:t xml:space="preserve">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0" w:after="0" w:line="240"/>
        <w:ind w:firstLine="0"/>
        <w:jc w:val="center"/>
        <w:outlineLvl w:val="9"/>
        <w:sectPr>
          <w:type w:val="nextPage"/>
          <w:pgSz w:w="11900" w:h="16840" w:orient="portrait"/>
          <w:pgMar w:top="1984" w:right="1304" w:bottom="1134" w:left="1304" w:header="720" w:footer="720" w:gutter="0"/>
          <w:pgBorders/>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pgBorders/>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1.人犯公杂费绩效目标表</w:t>
      </w:r>
      <w:bookmarkEnd w:id="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316001玉田县看守所本级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13022925P00004310002N</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人犯公杂费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335000.00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335000.00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购买人犯餐食制作和配送服务</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1.保障在押人员伙食质量，保证吃熟，吃足定量、吃的安全</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购买服务人数完成率(%)</w:t>
            </w:r>
          </w:p>
        </w:tc>
        <w:tc>
          <w:tcPr>
            <w:tcW w:w="2891" w:type="dxa"/>
            <w:vAlign w:val="center"/>
          </w:tcPr>
          <w:p>
            <w:pPr>
              <w:pStyle w:val="单元格样式2"/>
            </w:pPr>
            <w:r>
              <w:t xml:space="preserve">购买服务人数完成率(%)</w:t>
            </w:r>
          </w:p>
        </w:tc>
        <w:tc>
          <w:tcPr>
            <w:tcW w:w="1276" w:type="dxa"/>
            <w:vAlign w:val="center"/>
          </w:tcPr>
          <w:p>
            <w:pPr>
              <w:pStyle w:val="单元格样式2"/>
            </w:pPr>
            <w:r>
              <w:t xml:space="preserve">≥100百分比</w:t>
            </w:r>
          </w:p>
        </w:tc>
        <w:tc>
          <w:tcPr>
            <w:tcW w:w="1843" w:type="dxa"/>
            <w:vAlign w:val="center"/>
          </w:tcPr>
          <w:p>
            <w:pPr>
              <w:pStyle w:val="单元格样式2"/>
            </w:pPr>
            <w:r>
              <w:t xml:space="preserve">服务人数</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服务水平</w:t>
            </w:r>
          </w:p>
        </w:tc>
        <w:tc>
          <w:tcPr>
            <w:tcW w:w="2891" w:type="dxa"/>
            <w:vAlign w:val="center"/>
          </w:tcPr>
          <w:p>
            <w:pPr>
              <w:pStyle w:val="单元格样式2"/>
            </w:pPr>
            <w:r>
              <w:t xml:space="preserve">服务水平</w:t>
            </w:r>
          </w:p>
        </w:tc>
        <w:tc>
          <w:tcPr>
            <w:tcW w:w="1276" w:type="dxa"/>
            <w:vAlign w:val="center"/>
          </w:tcPr>
          <w:p>
            <w:pPr>
              <w:pStyle w:val="单元格样式2"/>
            </w:pPr>
            <w:r>
              <w:t xml:space="preserve">服务水平达到规定标准</w:t>
            </w:r>
          </w:p>
        </w:tc>
        <w:tc>
          <w:tcPr>
            <w:tcW w:w="1843" w:type="dxa"/>
            <w:vAlign w:val="center"/>
          </w:tcPr>
          <w:p>
            <w:pPr>
              <w:pStyle w:val="单元格样式2"/>
            </w:pPr>
            <w:r>
              <w:t xml:space="preserve">服务水平</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及时率</w:t>
            </w:r>
          </w:p>
        </w:tc>
        <w:tc>
          <w:tcPr>
            <w:tcW w:w="2891" w:type="dxa"/>
            <w:vAlign w:val="center"/>
          </w:tcPr>
          <w:p>
            <w:pPr>
              <w:pStyle w:val="单元格样式2"/>
            </w:pPr>
            <w:r>
              <w:t xml:space="preserve">及时率</w:t>
            </w:r>
          </w:p>
        </w:tc>
        <w:tc>
          <w:tcPr>
            <w:tcW w:w="1276" w:type="dxa"/>
            <w:vAlign w:val="center"/>
          </w:tcPr>
          <w:p>
            <w:pPr>
              <w:pStyle w:val="单元格样式2"/>
            </w:pPr>
            <w:r>
              <w:t xml:space="preserve">≥98百分比</w:t>
            </w:r>
          </w:p>
        </w:tc>
        <w:tc>
          <w:tcPr>
            <w:tcW w:w="1843" w:type="dxa"/>
            <w:vAlign w:val="center"/>
          </w:tcPr>
          <w:p>
            <w:pPr>
              <w:pStyle w:val="单元格样式2"/>
            </w:pPr>
            <w:r>
              <w:t xml:space="preserve">及时率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项目所需资金</w:t>
            </w:r>
          </w:p>
        </w:tc>
        <w:tc>
          <w:tcPr>
            <w:tcW w:w="2891" w:type="dxa"/>
            <w:vAlign w:val="center"/>
          </w:tcPr>
          <w:p>
            <w:pPr>
              <w:pStyle w:val="单元格样式2"/>
            </w:pPr>
            <w:r>
              <w:t xml:space="preserve">项目所需资金</w:t>
            </w:r>
          </w:p>
        </w:tc>
        <w:tc>
          <w:tcPr>
            <w:tcW w:w="1276" w:type="dxa"/>
            <w:vAlign w:val="center"/>
          </w:tcPr>
          <w:p>
            <w:pPr>
              <w:pStyle w:val="单元格样式2"/>
            </w:pPr>
            <w:r>
              <w:t xml:space="preserve">≤33.5万元</w:t>
            </w:r>
          </w:p>
        </w:tc>
        <w:tc>
          <w:tcPr>
            <w:tcW w:w="1843" w:type="dxa"/>
            <w:vAlign w:val="center"/>
          </w:tcPr>
          <w:p>
            <w:pPr>
              <w:pStyle w:val="单元格样式2"/>
            </w:pPr>
            <w:r>
              <w:t xml:space="preserve">招标合同</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成本利用率</w:t>
            </w:r>
          </w:p>
        </w:tc>
        <w:tc>
          <w:tcPr>
            <w:tcW w:w="2891" w:type="dxa"/>
            <w:vAlign w:val="center"/>
          </w:tcPr>
          <w:p>
            <w:pPr>
              <w:pStyle w:val="单元格样式2"/>
            </w:pPr>
            <w:r>
              <w:t xml:space="preserve">成本利用率</w:t>
            </w:r>
          </w:p>
        </w:tc>
        <w:tc>
          <w:tcPr>
            <w:tcW w:w="1276" w:type="dxa"/>
            <w:vAlign w:val="center"/>
          </w:tcPr>
          <w:p>
            <w:pPr>
              <w:pStyle w:val="单元格样式2"/>
            </w:pPr>
            <w:r>
              <w:t xml:space="preserve">100百分比</w:t>
            </w:r>
          </w:p>
        </w:tc>
        <w:tc>
          <w:tcPr>
            <w:tcW w:w="1843" w:type="dxa"/>
            <w:vAlign w:val="center"/>
          </w:tcPr>
          <w:p>
            <w:pPr>
              <w:pStyle w:val="单元格样式2"/>
            </w:pPr>
            <w:r>
              <w:t xml:space="preserve">成本利用情况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被羁押人员各类安全事故发生下降</w:t>
            </w:r>
          </w:p>
        </w:tc>
        <w:tc>
          <w:tcPr>
            <w:tcW w:w="2891" w:type="dxa"/>
            <w:vAlign w:val="center"/>
          </w:tcPr>
          <w:p>
            <w:pPr>
              <w:pStyle w:val="单元格样式2"/>
            </w:pPr>
            <w:r>
              <w:t xml:space="preserve">被羁押人员各类安全事故发生下降率</w:t>
            </w:r>
          </w:p>
        </w:tc>
        <w:tc>
          <w:tcPr>
            <w:tcW w:w="1276" w:type="dxa"/>
            <w:vAlign w:val="center"/>
          </w:tcPr>
          <w:p>
            <w:pPr>
              <w:pStyle w:val="单元格样式2"/>
            </w:pPr>
            <w:r>
              <w:t xml:space="preserve">≥5百分比</w:t>
            </w:r>
          </w:p>
        </w:tc>
        <w:tc>
          <w:tcPr>
            <w:tcW w:w="1843" w:type="dxa"/>
            <w:vAlign w:val="center"/>
          </w:tcPr>
          <w:p>
            <w:pPr>
              <w:pStyle w:val="单元格样式2"/>
            </w:pPr>
            <w:r>
              <w:t xml:space="preserve">各类安全事故发生情况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重大伙食卫生事故发生数量</w:t>
            </w:r>
          </w:p>
        </w:tc>
        <w:tc>
          <w:tcPr>
            <w:tcW w:w="2891" w:type="dxa"/>
            <w:vAlign w:val="center"/>
          </w:tcPr>
          <w:p>
            <w:pPr>
              <w:pStyle w:val="单元格样式2"/>
            </w:pPr>
            <w:r>
              <w:t xml:space="preserve">监狱重大伙食卫生事故区域性爆发事件数量</w:t>
            </w:r>
          </w:p>
        </w:tc>
        <w:tc>
          <w:tcPr>
            <w:tcW w:w="1276" w:type="dxa"/>
            <w:vAlign w:val="center"/>
          </w:tcPr>
          <w:p>
            <w:pPr>
              <w:pStyle w:val="单元格样式2"/>
            </w:pPr>
            <w:r>
              <w:t xml:space="preserve">&lt;2百分比</w:t>
            </w:r>
          </w:p>
        </w:tc>
        <w:tc>
          <w:tcPr>
            <w:tcW w:w="1843" w:type="dxa"/>
            <w:vAlign w:val="center"/>
          </w:tcPr>
          <w:p>
            <w:pPr>
              <w:pStyle w:val="单元格样式2"/>
            </w:pPr>
            <w:r>
              <w:t xml:space="preserve">伙食卫生安全事故</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监管队伍形象</w:t>
            </w:r>
          </w:p>
        </w:tc>
        <w:tc>
          <w:tcPr>
            <w:tcW w:w="2891" w:type="dxa"/>
            <w:vAlign w:val="center"/>
          </w:tcPr>
          <w:p>
            <w:pPr>
              <w:pStyle w:val="单元格样式2"/>
            </w:pPr>
            <w:r>
              <w:t xml:space="preserve">监管队伍形象</w:t>
            </w:r>
          </w:p>
        </w:tc>
        <w:tc>
          <w:tcPr>
            <w:tcW w:w="1276" w:type="dxa"/>
            <w:vAlign w:val="center"/>
          </w:tcPr>
          <w:p>
            <w:pPr>
              <w:pStyle w:val="单元格样式2"/>
            </w:pPr>
            <w:r>
              <w:t xml:space="preserve">≥5百分比</w:t>
            </w:r>
          </w:p>
        </w:tc>
        <w:tc>
          <w:tcPr>
            <w:tcW w:w="1843" w:type="dxa"/>
            <w:vAlign w:val="center"/>
          </w:tcPr>
          <w:p>
            <w:pPr>
              <w:pStyle w:val="单元格样式2"/>
            </w:pPr>
            <w:r>
              <w:t xml:space="preserve">较上年群众满意度</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≥96百分比</w:t>
            </w:r>
          </w:p>
        </w:tc>
        <w:tc>
          <w:tcPr>
            <w:tcW w:w="1843" w:type="dxa"/>
            <w:vAlign w:val="center"/>
          </w:tcPr>
          <w:p>
            <w:pPr>
              <w:pStyle w:val="单元格样式2"/>
            </w:pPr>
            <w:r>
              <w:t xml:space="preserve">服务对象满意度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2.人犯伙食费绩效目标表</w:t>
      </w:r>
      <w:bookmarkEnd w:id="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316001玉田县看守所本级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13022925P000043100013</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人犯伙食费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739200.00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739200.00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用于购买人犯伙食和伙房用液化气</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40%</w:t>
            </w: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1.保障好在押人员伙食标准，质量标准，安全标准，确保监管安全稳定。</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购买数量</w:t>
            </w:r>
          </w:p>
        </w:tc>
        <w:tc>
          <w:tcPr>
            <w:tcW w:w="2891" w:type="dxa"/>
            <w:vAlign w:val="center"/>
          </w:tcPr>
          <w:p>
            <w:pPr>
              <w:pStyle w:val="单元格样式2"/>
            </w:pPr>
            <w:r>
              <w:t xml:space="preserve">购买数量</w:t>
            </w:r>
          </w:p>
        </w:tc>
        <w:tc>
          <w:tcPr>
            <w:tcW w:w="1276" w:type="dxa"/>
            <w:vAlign w:val="center"/>
          </w:tcPr>
          <w:p>
            <w:pPr>
              <w:pStyle w:val="单元格样式2"/>
            </w:pPr>
            <w:r>
              <w:t xml:space="preserve">满足被监管人员食物量标准</w:t>
            </w:r>
          </w:p>
        </w:tc>
        <w:tc>
          <w:tcPr>
            <w:tcW w:w="1843" w:type="dxa"/>
            <w:vAlign w:val="center"/>
          </w:tcPr>
          <w:p>
            <w:pPr>
              <w:pStyle w:val="单元格样式2"/>
            </w:pPr>
            <w:r>
              <w:t xml:space="preserve">购买相关食材发票及入库表</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在押罪犯伙食、被服实物量达标率</w:t>
            </w:r>
          </w:p>
        </w:tc>
        <w:tc>
          <w:tcPr>
            <w:tcW w:w="2891" w:type="dxa"/>
            <w:vAlign w:val="center"/>
          </w:tcPr>
          <w:p>
            <w:pPr>
              <w:pStyle w:val="单元格样式2"/>
            </w:pPr>
            <w:r>
              <w:t xml:space="preserve">在押罪犯伙食、被服实物量达标率</w:t>
            </w:r>
          </w:p>
        </w:tc>
        <w:tc>
          <w:tcPr>
            <w:tcW w:w="1276" w:type="dxa"/>
            <w:vAlign w:val="center"/>
          </w:tcPr>
          <w:p>
            <w:pPr>
              <w:pStyle w:val="单元格样式2"/>
            </w:pPr>
            <w:r>
              <w:t xml:space="preserve">≥100百分比</w:t>
            </w:r>
          </w:p>
        </w:tc>
        <w:tc>
          <w:tcPr>
            <w:tcW w:w="1843" w:type="dxa"/>
            <w:vAlign w:val="center"/>
          </w:tcPr>
          <w:p>
            <w:pPr>
              <w:pStyle w:val="单元格样式2"/>
            </w:pPr>
            <w:r>
              <w:t xml:space="preserve">在押罪犯伙食、被服实物量达标率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采购计划按时率（%）</w:t>
            </w:r>
          </w:p>
        </w:tc>
        <w:tc>
          <w:tcPr>
            <w:tcW w:w="2891" w:type="dxa"/>
            <w:vAlign w:val="center"/>
          </w:tcPr>
          <w:p>
            <w:pPr>
              <w:pStyle w:val="单元格样式2"/>
            </w:pPr>
            <w:r>
              <w:t xml:space="preserve">采购计划按时率（%）</w:t>
            </w:r>
          </w:p>
        </w:tc>
        <w:tc>
          <w:tcPr>
            <w:tcW w:w="1276" w:type="dxa"/>
            <w:vAlign w:val="center"/>
          </w:tcPr>
          <w:p>
            <w:pPr>
              <w:pStyle w:val="单元格样式2"/>
            </w:pPr>
            <w:r>
              <w:t xml:space="preserve">≥98百分比</w:t>
            </w:r>
          </w:p>
        </w:tc>
        <w:tc>
          <w:tcPr>
            <w:tcW w:w="1843" w:type="dxa"/>
            <w:vAlign w:val="center"/>
          </w:tcPr>
          <w:p>
            <w:pPr>
              <w:pStyle w:val="单元格样式2"/>
            </w:pPr>
            <w:r>
              <w:t xml:space="preserve">采购计划按时率（%）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采购单价涨幅比率</w:t>
            </w:r>
          </w:p>
        </w:tc>
        <w:tc>
          <w:tcPr>
            <w:tcW w:w="2891" w:type="dxa"/>
            <w:vAlign w:val="center"/>
          </w:tcPr>
          <w:p>
            <w:pPr>
              <w:pStyle w:val="单元格样式2"/>
            </w:pPr>
            <w:r>
              <w:t xml:space="preserve">采购单价涨幅比率</w:t>
            </w:r>
          </w:p>
        </w:tc>
        <w:tc>
          <w:tcPr>
            <w:tcW w:w="1276" w:type="dxa"/>
            <w:vAlign w:val="center"/>
          </w:tcPr>
          <w:p>
            <w:pPr>
              <w:pStyle w:val="单元格样式2"/>
            </w:pPr>
            <w:r>
              <w:t xml:space="preserve">≤2百分比</w:t>
            </w:r>
          </w:p>
        </w:tc>
        <w:tc>
          <w:tcPr>
            <w:tcW w:w="1843" w:type="dxa"/>
            <w:vAlign w:val="center"/>
          </w:tcPr>
          <w:p>
            <w:pPr>
              <w:pStyle w:val="单元格样式2"/>
            </w:pPr>
            <w:r>
              <w:t xml:space="preserve">与上年相比采购金额情况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成本利用率</w:t>
            </w:r>
          </w:p>
        </w:tc>
        <w:tc>
          <w:tcPr>
            <w:tcW w:w="2891" w:type="dxa"/>
            <w:vAlign w:val="center"/>
          </w:tcPr>
          <w:p>
            <w:pPr>
              <w:pStyle w:val="单元格样式2"/>
            </w:pPr>
            <w:r>
              <w:t xml:space="preserve">成本利用率</w:t>
            </w:r>
          </w:p>
        </w:tc>
        <w:tc>
          <w:tcPr>
            <w:tcW w:w="1276" w:type="dxa"/>
            <w:vAlign w:val="center"/>
          </w:tcPr>
          <w:p>
            <w:pPr>
              <w:pStyle w:val="单元格样式2"/>
            </w:pPr>
            <w:r>
              <w:t xml:space="preserve">100百分比</w:t>
            </w:r>
          </w:p>
        </w:tc>
        <w:tc>
          <w:tcPr>
            <w:tcW w:w="1843" w:type="dxa"/>
            <w:vAlign w:val="center"/>
          </w:tcPr>
          <w:p>
            <w:pPr>
              <w:pStyle w:val="单元格样式2"/>
            </w:pPr>
            <w:r>
              <w:t xml:space="preserve">成本利用率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被羁押人员每百人各类安全事故发</w:t>
            </w:r>
          </w:p>
        </w:tc>
        <w:tc>
          <w:tcPr>
            <w:tcW w:w="2891" w:type="dxa"/>
            <w:vAlign w:val="center"/>
          </w:tcPr>
          <w:p>
            <w:pPr>
              <w:pStyle w:val="单元格样式2"/>
            </w:pPr>
            <w:r>
              <w:t xml:space="preserve">被羁押人员每百人各类安全事故发生率控制数</w:t>
            </w:r>
          </w:p>
        </w:tc>
        <w:tc>
          <w:tcPr>
            <w:tcW w:w="1276" w:type="dxa"/>
            <w:vAlign w:val="center"/>
          </w:tcPr>
          <w:p>
            <w:pPr>
              <w:pStyle w:val="单元格样式2"/>
            </w:pPr>
            <w:r>
              <w:t xml:space="preserve">&lt;3百分比</w:t>
            </w:r>
          </w:p>
        </w:tc>
        <w:tc>
          <w:tcPr>
            <w:tcW w:w="1843" w:type="dxa"/>
            <w:vAlign w:val="center"/>
          </w:tcPr>
          <w:p>
            <w:pPr>
              <w:pStyle w:val="单元格样式2"/>
            </w:pPr>
            <w:r>
              <w:t xml:space="preserve">发生情况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重大伙食卫生事故发生数量</w:t>
            </w:r>
          </w:p>
        </w:tc>
        <w:tc>
          <w:tcPr>
            <w:tcW w:w="2891" w:type="dxa"/>
            <w:vAlign w:val="center"/>
          </w:tcPr>
          <w:p>
            <w:pPr>
              <w:pStyle w:val="单元格样式2"/>
            </w:pPr>
            <w:r>
              <w:t xml:space="preserve">监狱重大伙食卫生事故区域性爆发事件数量</w:t>
            </w:r>
          </w:p>
        </w:tc>
        <w:tc>
          <w:tcPr>
            <w:tcW w:w="1276" w:type="dxa"/>
            <w:vAlign w:val="center"/>
          </w:tcPr>
          <w:p>
            <w:pPr>
              <w:pStyle w:val="单元格样式2"/>
            </w:pPr>
            <w:r>
              <w:t xml:space="preserve">&lt;1起</w:t>
            </w:r>
          </w:p>
        </w:tc>
        <w:tc>
          <w:tcPr>
            <w:tcW w:w="1843" w:type="dxa"/>
            <w:vAlign w:val="center"/>
          </w:tcPr>
          <w:p>
            <w:pPr>
              <w:pStyle w:val="单元格样式2"/>
            </w:pPr>
            <w:r>
              <w:t xml:space="preserve">发生情况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监管队伍形象</w:t>
            </w:r>
          </w:p>
        </w:tc>
        <w:tc>
          <w:tcPr>
            <w:tcW w:w="2891" w:type="dxa"/>
            <w:vAlign w:val="center"/>
          </w:tcPr>
          <w:p>
            <w:pPr>
              <w:pStyle w:val="单元格样式2"/>
            </w:pPr>
            <w:r>
              <w:t xml:space="preserve">监管队伍形象</w:t>
            </w:r>
          </w:p>
        </w:tc>
        <w:tc>
          <w:tcPr>
            <w:tcW w:w="1276" w:type="dxa"/>
            <w:vAlign w:val="center"/>
          </w:tcPr>
          <w:p>
            <w:pPr>
              <w:pStyle w:val="单元格样式2"/>
            </w:pPr>
            <w:r>
              <w:t xml:space="preserve">≥5百分比</w:t>
            </w:r>
          </w:p>
        </w:tc>
        <w:tc>
          <w:tcPr>
            <w:tcW w:w="1843" w:type="dxa"/>
            <w:vAlign w:val="center"/>
          </w:tcPr>
          <w:p>
            <w:pPr>
              <w:pStyle w:val="单元格样式2"/>
            </w:pPr>
            <w:r>
              <w:t xml:space="preserve">较上年相比群众满意率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vAlign w:val="center"/>
          </w:tcPr>
          <w:p>
            <w:pPr>
              <w:pStyle w:val="单元格样式2"/>
            </w:pPr>
            <w:r>
              <w:t xml:space="preserve">满意度</w:t>
            </w:r>
          </w:p>
        </w:tc>
        <w:tc>
          <w:tcPr>
            <w:tcW w:w="1276" w:type="dxa"/>
            <w:vAlign w:val="center"/>
          </w:tcPr>
          <w:p>
            <w:pPr>
              <w:pStyle w:val="单元格样式2"/>
            </w:pPr>
            <w:r>
              <w:t xml:space="preserve">≥96百分比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3.人犯医疗费、衣被费等绩效目标表</w:t>
      </w:r>
      <w:bookmarkEnd w:id="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316001玉田县看守所本级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13022925P00004310003A</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人犯医疗费、衣被费等</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170000.00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170000.00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被监管人员医药费和衣被费等</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50%</w:t>
            </w:r>
          </w:p>
        </w:tc>
        <w:tc>
          <w:tcPr>
            <w:tcW w:w="1587" w:type="dxa"/>
            <w:vAlign w:val="center"/>
          </w:tcPr>
          <w:p>
            <w:pPr>
              <w:pStyle w:val="单元格样式3"/>
            </w:pPr>
            <w:r>
              <w:t xml:space="preserve">70%</w:t>
            </w:r>
          </w:p>
        </w:tc>
        <w:tc>
          <w:tcPr>
            <w:tcW w:w="1304" w:type="dxa"/>
            <w:vAlign w:val="center"/>
          </w:tcPr>
          <w:p>
            <w:pPr>
              <w:pStyle w:val="单元格样式3"/>
            </w:pPr>
            <w:r>
              <w:t xml:space="preserve">90%</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1.保障好被监管人员的衣被、药品等物资供应，减少因病死亡率</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购买衣被、药品等数量</w:t>
            </w:r>
          </w:p>
        </w:tc>
        <w:tc>
          <w:tcPr>
            <w:tcW w:w="2891" w:type="dxa"/>
            <w:vAlign w:val="center"/>
          </w:tcPr>
          <w:p>
            <w:pPr>
              <w:pStyle w:val="单元格样式2"/>
            </w:pPr>
            <w:r>
              <w:t xml:space="preserve">购买在押人员衣被、药品等数量覆盖率</w:t>
            </w:r>
          </w:p>
        </w:tc>
        <w:tc>
          <w:tcPr>
            <w:tcW w:w="1276" w:type="dxa"/>
            <w:vAlign w:val="center"/>
          </w:tcPr>
          <w:p>
            <w:pPr>
              <w:pStyle w:val="单元格样式2"/>
            </w:pPr>
            <w:r>
              <w:t xml:space="preserve">100百分比</w:t>
            </w:r>
          </w:p>
        </w:tc>
        <w:tc>
          <w:tcPr>
            <w:tcW w:w="1843" w:type="dxa"/>
            <w:vAlign w:val="center"/>
          </w:tcPr>
          <w:p>
            <w:pPr>
              <w:pStyle w:val="单元格样式2"/>
            </w:pPr>
            <w:r>
              <w:t xml:space="preserve">根据平均在押人数确定</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购买衣被、药品等质量</w:t>
            </w:r>
          </w:p>
        </w:tc>
        <w:tc>
          <w:tcPr>
            <w:tcW w:w="2891" w:type="dxa"/>
            <w:vAlign w:val="center"/>
          </w:tcPr>
          <w:p>
            <w:pPr>
              <w:pStyle w:val="单元格样式2"/>
            </w:pPr>
            <w:r>
              <w:t xml:space="preserve">购买在押人员衣被、药品等质量达标率</w:t>
            </w:r>
          </w:p>
        </w:tc>
        <w:tc>
          <w:tcPr>
            <w:tcW w:w="1276" w:type="dxa"/>
            <w:vAlign w:val="center"/>
          </w:tcPr>
          <w:p>
            <w:pPr>
              <w:pStyle w:val="单元格样式2"/>
            </w:pPr>
            <w:r>
              <w:t xml:space="preserve">100百分比</w:t>
            </w:r>
          </w:p>
        </w:tc>
        <w:tc>
          <w:tcPr>
            <w:tcW w:w="1843" w:type="dxa"/>
            <w:vAlign w:val="center"/>
          </w:tcPr>
          <w:p>
            <w:pPr>
              <w:pStyle w:val="单元格样式2"/>
            </w:pPr>
            <w:r>
              <w:t xml:space="preserve">根据检测数据确定</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购买衣被、药品等时效</w:t>
            </w:r>
          </w:p>
        </w:tc>
        <w:tc>
          <w:tcPr>
            <w:tcW w:w="2891" w:type="dxa"/>
            <w:vAlign w:val="center"/>
          </w:tcPr>
          <w:p>
            <w:pPr>
              <w:pStyle w:val="单元格样式2"/>
            </w:pPr>
            <w:r>
              <w:t xml:space="preserve">购买在押人员衣被、药品等及时率</w:t>
            </w:r>
          </w:p>
        </w:tc>
        <w:tc>
          <w:tcPr>
            <w:tcW w:w="1276" w:type="dxa"/>
            <w:vAlign w:val="center"/>
          </w:tcPr>
          <w:p>
            <w:pPr>
              <w:pStyle w:val="单元格样式2"/>
            </w:pPr>
            <w:r>
              <w:t xml:space="preserve">≥96百分比</w:t>
            </w:r>
          </w:p>
        </w:tc>
        <w:tc>
          <w:tcPr>
            <w:tcW w:w="1843" w:type="dxa"/>
            <w:vAlign w:val="center"/>
          </w:tcPr>
          <w:p>
            <w:pPr>
              <w:pStyle w:val="单元格样式2"/>
            </w:pPr>
            <w:r>
              <w:t xml:space="preserve">根据购买物品及时性确定</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购买衣被、药品等成本</w:t>
            </w:r>
          </w:p>
        </w:tc>
        <w:tc>
          <w:tcPr>
            <w:tcW w:w="2891" w:type="dxa"/>
            <w:vAlign w:val="center"/>
          </w:tcPr>
          <w:p>
            <w:pPr>
              <w:pStyle w:val="单元格样式2"/>
            </w:pPr>
            <w:r>
              <w:t xml:space="preserve">购买在押人员衣被、药品等成本节约率</w:t>
            </w:r>
          </w:p>
        </w:tc>
        <w:tc>
          <w:tcPr>
            <w:tcW w:w="1276" w:type="dxa"/>
            <w:vAlign w:val="center"/>
          </w:tcPr>
          <w:p>
            <w:pPr>
              <w:pStyle w:val="单元格样式2"/>
            </w:pPr>
            <w:r>
              <w:t xml:space="preserve">≥2百分比</w:t>
            </w:r>
          </w:p>
        </w:tc>
        <w:tc>
          <w:tcPr>
            <w:tcW w:w="1843" w:type="dxa"/>
            <w:vAlign w:val="center"/>
          </w:tcPr>
          <w:p>
            <w:pPr>
              <w:pStyle w:val="单元格样式2"/>
            </w:pPr>
            <w:r>
              <w:t xml:space="preserve">根据购买价格对比市场价格</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vAlign w:val="center"/>
          </w:tcPr>
          <w:p>
            <w:pPr>
              <w:pStyle w:val="单元格样式2"/>
            </w:pPr>
            <w:r>
              <w:t xml:space="preserve">资金的使用效率</w:t>
            </w:r>
          </w:p>
        </w:tc>
        <w:tc>
          <w:tcPr>
            <w:tcW w:w="1276" w:type="dxa"/>
            <w:vAlign w:val="center"/>
          </w:tcPr>
          <w:p>
            <w:pPr>
              <w:pStyle w:val="单元格样式2"/>
            </w:pPr>
            <w:r>
              <w:t xml:space="preserve">≥98百分比</w:t>
            </w:r>
          </w:p>
        </w:tc>
        <w:tc>
          <w:tcPr>
            <w:tcW w:w="1843" w:type="dxa"/>
            <w:vAlign w:val="center"/>
          </w:tcPr>
          <w:p>
            <w:pPr>
              <w:pStyle w:val="单元格样式2"/>
            </w:pPr>
            <w:r>
              <w:t xml:space="preserve">根据项目资金使用率确定</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被监管人员因病死亡率</w:t>
            </w:r>
          </w:p>
        </w:tc>
        <w:tc>
          <w:tcPr>
            <w:tcW w:w="2891" w:type="dxa"/>
            <w:vAlign w:val="center"/>
          </w:tcPr>
          <w:p>
            <w:pPr>
              <w:pStyle w:val="单元格样式2"/>
            </w:pPr>
            <w:r>
              <w:t xml:space="preserve">减被监管人员因病死亡率</w:t>
            </w:r>
          </w:p>
        </w:tc>
        <w:tc>
          <w:tcPr>
            <w:tcW w:w="1276" w:type="dxa"/>
            <w:vAlign w:val="center"/>
          </w:tcPr>
          <w:p>
            <w:pPr>
              <w:pStyle w:val="单元格样式2"/>
            </w:pPr>
            <w:r>
              <w:t xml:space="preserve">&lt;1百分比</w:t>
            </w:r>
          </w:p>
        </w:tc>
        <w:tc>
          <w:tcPr>
            <w:tcW w:w="1843" w:type="dxa"/>
            <w:vAlign w:val="center"/>
          </w:tcPr>
          <w:p>
            <w:pPr>
              <w:pStyle w:val="单元格样式2"/>
            </w:pPr>
            <w:r>
              <w:t xml:space="preserve">根据因病死亡人数</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vAlign w:val="center"/>
          </w:tcPr>
          <w:p>
            <w:pPr>
              <w:pStyle w:val="单元格样式2"/>
            </w:pPr>
            <w:r>
              <w:t xml:space="preserve">满足生态环保要求</w:t>
            </w:r>
          </w:p>
        </w:tc>
        <w:tc>
          <w:tcPr>
            <w:tcW w:w="1276" w:type="dxa"/>
            <w:vAlign w:val="center"/>
          </w:tcPr>
          <w:p>
            <w:pPr>
              <w:pStyle w:val="单元格样式2"/>
            </w:pPr>
            <w:r>
              <w:t xml:space="preserve">满足生态环保要求</w:t>
            </w:r>
          </w:p>
        </w:tc>
        <w:tc>
          <w:tcPr>
            <w:tcW w:w="1843" w:type="dxa"/>
            <w:vAlign w:val="center"/>
          </w:tcPr>
          <w:p>
            <w:pPr>
              <w:pStyle w:val="单元格样式2"/>
            </w:pPr>
            <w:r>
              <w:t xml:space="preserve">根据检测数据确定</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监管队伍形象</w:t>
            </w:r>
          </w:p>
        </w:tc>
        <w:tc>
          <w:tcPr>
            <w:tcW w:w="2891" w:type="dxa"/>
            <w:vAlign w:val="center"/>
          </w:tcPr>
          <w:p>
            <w:pPr>
              <w:pStyle w:val="单元格样式2"/>
            </w:pPr>
            <w:r>
              <w:t xml:space="preserve">监管队伍形象</w:t>
            </w:r>
          </w:p>
        </w:tc>
        <w:tc>
          <w:tcPr>
            <w:tcW w:w="1276" w:type="dxa"/>
            <w:vAlign w:val="center"/>
          </w:tcPr>
          <w:p>
            <w:pPr>
              <w:pStyle w:val="单元格样式2"/>
            </w:pPr>
            <w:r>
              <w:t xml:space="preserve">监管队伍形象持续提高</w:t>
            </w:r>
          </w:p>
        </w:tc>
        <w:tc>
          <w:tcPr>
            <w:tcW w:w="1843" w:type="dxa"/>
            <w:vAlign w:val="center"/>
          </w:tcPr>
          <w:p>
            <w:pPr>
              <w:pStyle w:val="单元格样式2"/>
            </w:pPr>
            <w:r>
              <w:t xml:space="preserve">根据广大群众的口碑确定</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社会公众满意度</w:t>
            </w:r>
          </w:p>
        </w:tc>
        <w:tc>
          <w:tcPr>
            <w:tcW w:w="2891" w:type="dxa"/>
            <w:vAlign w:val="center"/>
          </w:tcPr>
          <w:p>
            <w:pPr>
              <w:pStyle w:val="单元格样式2"/>
            </w:pPr>
            <w:r>
              <w:t xml:space="preserve">社会公众满意度</w:t>
            </w:r>
          </w:p>
        </w:tc>
        <w:tc>
          <w:tcPr>
            <w:tcW w:w="1276" w:type="dxa"/>
            <w:vAlign w:val="center"/>
          </w:tcPr>
          <w:p>
            <w:pPr>
              <w:pStyle w:val="单元格样式2"/>
            </w:pPr>
            <w:r>
              <w:t xml:space="preserve">≥97百分比</w:t>
            </w:r>
          </w:p>
        </w:tc>
        <w:tc>
          <w:tcPr>
            <w:tcW w:w="1843" w:type="dxa"/>
            <w:vAlign w:val="center"/>
          </w:tcPr>
          <w:p>
            <w:pPr>
              <w:pStyle w:val="单元格样式2"/>
            </w:pPr>
            <w:r>
              <w:t xml:space="preserve">根据社会公众满意度调查</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4.武警中队建设经费绩效目标表</w:t>
      </w:r>
      <w:bookmarkEnd w:id="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316001玉田县看守所本级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13022925P00004310004X</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武警中队建设经费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保障武警中队日常建设</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50%</w:t>
            </w:r>
          </w:p>
        </w:tc>
        <w:tc>
          <w:tcPr>
            <w:tcW w:w="1587" w:type="dxa"/>
            <w:vAlign w:val="center"/>
          </w:tcPr>
          <w:p>
            <w:pPr>
              <w:pStyle w:val="单元格样式3"/>
            </w:pPr>
            <w:r>
              <w:t xml:space="preserve">70%</w:t>
            </w:r>
          </w:p>
        </w:tc>
        <w:tc>
          <w:tcPr>
            <w:tcW w:w="1304" w:type="dxa"/>
            <w:vAlign w:val="center"/>
          </w:tcPr>
          <w:p>
            <w:pPr>
              <w:pStyle w:val="单元格样式3"/>
            </w:pPr>
            <w:r>
              <w:t xml:space="preserve">80%</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1.保障中队官兵执勤、战备、生活、适应部队实战化发展，提升“四个秩序”建设水平，更好的保障中队履行使命任务。</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安防设施运行无故障率</w:t>
            </w:r>
          </w:p>
        </w:tc>
        <w:tc>
          <w:tcPr>
            <w:tcW w:w="2891" w:type="dxa"/>
            <w:vAlign w:val="center"/>
          </w:tcPr>
          <w:p>
            <w:pPr>
              <w:pStyle w:val="单元格样式2"/>
            </w:pPr>
            <w:r>
              <w:t xml:space="preserve">安防设施运行无故障率</w:t>
            </w:r>
          </w:p>
        </w:tc>
        <w:tc>
          <w:tcPr>
            <w:tcW w:w="1276" w:type="dxa"/>
            <w:vAlign w:val="center"/>
          </w:tcPr>
          <w:p>
            <w:pPr>
              <w:pStyle w:val="单元格样式2"/>
            </w:pPr>
            <w:r>
              <w:t xml:space="preserve">≥95百分比</w:t>
            </w:r>
          </w:p>
        </w:tc>
        <w:tc>
          <w:tcPr>
            <w:tcW w:w="1843" w:type="dxa"/>
            <w:vAlign w:val="center"/>
          </w:tcPr>
          <w:p>
            <w:pPr>
              <w:pStyle w:val="单元格样式2"/>
            </w:pPr>
            <w:r>
              <w:t xml:space="preserve">安防设施运行故障情况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办公基础设施、设备运行情况</w:t>
            </w:r>
          </w:p>
        </w:tc>
        <w:tc>
          <w:tcPr>
            <w:tcW w:w="2891" w:type="dxa"/>
            <w:vAlign w:val="center"/>
          </w:tcPr>
          <w:p>
            <w:pPr>
              <w:pStyle w:val="单元格样式2"/>
            </w:pPr>
            <w:r>
              <w:t xml:space="preserve">办公基础设施、设备运行情况</w:t>
            </w:r>
          </w:p>
        </w:tc>
        <w:tc>
          <w:tcPr>
            <w:tcW w:w="1276" w:type="dxa"/>
            <w:vAlign w:val="center"/>
          </w:tcPr>
          <w:p>
            <w:pPr>
              <w:pStyle w:val="单元格样式2"/>
            </w:pPr>
            <w:r>
              <w:t xml:space="preserve">办公基础设施、设备运行情况</w:t>
            </w:r>
          </w:p>
        </w:tc>
        <w:tc>
          <w:tcPr>
            <w:tcW w:w="1843" w:type="dxa"/>
            <w:vAlign w:val="center"/>
          </w:tcPr>
          <w:p>
            <w:pPr>
              <w:pStyle w:val="单元格样式2"/>
            </w:pPr>
            <w:r>
              <w:t xml:space="preserve">办公基础设施、设备运行情况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采购设备按时完成率</w:t>
            </w:r>
          </w:p>
        </w:tc>
        <w:tc>
          <w:tcPr>
            <w:tcW w:w="2891" w:type="dxa"/>
            <w:vAlign w:val="center"/>
          </w:tcPr>
          <w:p>
            <w:pPr>
              <w:pStyle w:val="单元格样式2"/>
            </w:pPr>
            <w:r>
              <w:t xml:space="preserve">采购设备按时完成率</w:t>
            </w:r>
          </w:p>
        </w:tc>
        <w:tc>
          <w:tcPr>
            <w:tcW w:w="1276" w:type="dxa"/>
            <w:vAlign w:val="center"/>
          </w:tcPr>
          <w:p>
            <w:pPr>
              <w:pStyle w:val="单元格样式2"/>
            </w:pPr>
            <w:r>
              <w:t xml:space="preserve">≥96百分比</w:t>
            </w:r>
          </w:p>
        </w:tc>
        <w:tc>
          <w:tcPr>
            <w:tcW w:w="1843" w:type="dxa"/>
            <w:vAlign w:val="center"/>
          </w:tcPr>
          <w:p>
            <w:pPr>
              <w:pStyle w:val="单元格样式2"/>
            </w:pPr>
            <w:r>
              <w:t xml:space="preserve">采购设备按时完成情况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年用电费用</w:t>
            </w:r>
          </w:p>
        </w:tc>
        <w:tc>
          <w:tcPr>
            <w:tcW w:w="2891" w:type="dxa"/>
            <w:vAlign w:val="center"/>
          </w:tcPr>
          <w:p>
            <w:pPr>
              <w:pStyle w:val="单元格样式2"/>
            </w:pPr>
            <w:r>
              <w:t xml:space="preserve">年用电费用</w:t>
            </w:r>
          </w:p>
        </w:tc>
        <w:tc>
          <w:tcPr>
            <w:tcW w:w="1276" w:type="dxa"/>
            <w:vAlign w:val="center"/>
          </w:tcPr>
          <w:p>
            <w:pPr>
              <w:pStyle w:val="单元格样式2"/>
            </w:pPr>
            <w:r>
              <w:t xml:space="preserve">≤10万元</w:t>
            </w:r>
          </w:p>
        </w:tc>
        <w:tc>
          <w:tcPr>
            <w:tcW w:w="1843" w:type="dxa"/>
            <w:vAlign w:val="center"/>
          </w:tcPr>
          <w:p>
            <w:pPr>
              <w:pStyle w:val="单元格样式2"/>
            </w:pPr>
            <w:r>
              <w:t xml:space="preserve">实际用电费用</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设备使用率（%）</w:t>
            </w:r>
          </w:p>
        </w:tc>
        <w:tc>
          <w:tcPr>
            <w:tcW w:w="2891" w:type="dxa"/>
            <w:vAlign w:val="center"/>
          </w:tcPr>
          <w:p>
            <w:pPr>
              <w:pStyle w:val="单元格样式2"/>
            </w:pPr>
            <w:r>
              <w:t xml:space="preserve">设备使用率（%）</w:t>
            </w:r>
          </w:p>
        </w:tc>
        <w:tc>
          <w:tcPr>
            <w:tcW w:w="1276" w:type="dxa"/>
            <w:vAlign w:val="center"/>
          </w:tcPr>
          <w:p>
            <w:pPr>
              <w:pStyle w:val="单元格样式2"/>
            </w:pPr>
            <w:r>
              <w:t xml:space="preserve">≥97百分比</w:t>
            </w:r>
          </w:p>
        </w:tc>
        <w:tc>
          <w:tcPr>
            <w:tcW w:w="1843" w:type="dxa"/>
            <w:vAlign w:val="center"/>
          </w:tcPr>
          <w:p>
            <w:pPr>
              <w:pStyle w:val="单元格样式2"/>
            </w:pPr>
            <w:r>
              <w:t xml:space="preserve">设备使用情况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发生罪犯脱逃、暴狱等案件情况</w:t>
            </w:r>
          </w:p>
        </w:tc>
        <w:tc>
          <w:tcPr>
            <w:tcW w:w="2891" w:type="dxa"/>
            <w:vAlign w:val="center"/>
          </w:tcPr>
          <w:p>
            <w:pPr>
              <w:pStyle w:val="单元格样式2"/>
            </w:pPr>
            <w:r>
              <w:t xml:space="preserve">发生罪犯脱逃、暴狱等案件情况</w:t>
            </w:r>
          </w:p>
        </w:tc>
        <w:tc>
          <w:tcPr>
            <w:tcW w:w="1276" w:type="dxa"/>
            <w:vAlign w:val="center"/>
          </w:tcPr>
          <w:p>
            <w:pPr>
              <w:pStyle w:val="单元格样式2"/>
            </w:pPr>
            <w:r>
              <w:t xml:space="preserve">&lt;1件</w:t>
            </w:r>
          </w:p>
        </w:tc>
        <w:tc>
          <w:tcPr>
            <w:tcW w:w="1843" w:type="dxa"/>
            <w:vAlign w:val="center"/>
          </w:tcPr>
          <w:p>
            <w:pPr>
              <w:pStyle w:val="单元格样式2"/>
            </w:pPr>
            <w:r>
              <w:t xml:space="preserve">发生罪犯脱逃、暴狱等案件情况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环保节能</w:t>
            </w:r>
          </w:p>
        </w:tc>
        <w:tc>
          <w:tcPr>
            <w:tcW w:w="2891" w:type="dxa"/>
            <w:vAlign w:val="center"/>
          </w:tcPr>
          <w:p>
            <w:pPr>
              <w:pStyle w:val="单元格样式2"/>
            </w:pPr>
            <w:r>
              <w:t xml:space="preserve">环保节能</w:t>
            </w:r>
          </w:p>
        </w:tc>
        <w:tc>
          <w:tcPr>
            <w:tcW w:w="1276" w:type="dxa"/>
            <w:vAlign w:val="center"/>
          </w:tcPr>
          <w:p>
            <w:pPr>
              <w:pStyle w:val="单元格样式2"/>
            </w:pPr>
            <w:r>
              <w:t xml:space="preserve">环保节能</w:t>
            </w:r>
          </w:p>
        </w:tc>
        <w:tc>
          <w:tcPr>
            <w:tcW w:w="1843" w:type="dxa"/>
            <w:vAlign w:val="center"/>
          </w:tcPr>
          <w:p>
            <w:pPr>
              <w:pStyle w:val="单元格样式2"/>
            </w:pPr>
            <w:r>
              <w:t xml:space="preserve">环保节能情况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vAlign w:val="center"/>
          </w:tcPr>
          <w:p>
            <w:pPr>
              <w:pStyle w:val="单元格样式2"/>
            </w:pPr>
            <w:r>
              <w:t xml:space="preserve">维护社会稳定</w:t>
            </w:r>
          </w:p>
        </w:tc>
        <w:tc>
          <w:tcPr>
            <w:tcW w:w="1276" w:type="dxa"/>
            <w:vAlign w:val="center"/>
          </w:tcPr>
          <w:p>
            <w:pPr>
              <w:pStyle w:val="单元格样式2"/>
            </w:pPr>
            <w:r>
              <w:t xml:space="preserve">维护社会稳定</w:t>
            </w:r>
          </w:p>
        </w:tc>
        <w:tc>
          <w:tcPr>
            <w:tcW w:w="1843" w:type="dxa"/>
            <w:vAlign w:val="center"/>
          </w:tcPr>
          <w:p>
            <w:pPr>
              <w:pStyle w:val="单元格样式2"/>
            </w:pPr>
            <w:r>
              <w:t xml:space="preserve">维护社会稳定情况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工作人员满意度</w:t>
            </w:r>
          </w:p>
        </w:tc>
        <w:tc>
          <w:tcPr>
            <w:tcW w:w="2891" w:type="dxa"/>
            <w:vAlign w:val="center"/>
          </w:tcPr>
          <w:p>
            <w:pPr>
              <w:pStyle w:val="单元格样式2"/>
            </w:pPr>
            <w:r>
              <w:t xml:space="preserve">工作人员满意度</w:t>
            </w:r>
          </w:p>
        </w:tc>
        <w:tc>
          <w:tcPr>
            <w:tcW w:w="1276" w:type="dxa"/>
            <w:vAlign w:val="center"/>
          </w:tcPr>
          <w:p>
            <w:pPr>
              <w:pStyle w:val="单元格样式2"/>
            </w:pPr>
            <w:r>
              <w:t xml:space="preserve">≥96百分比</w:t>
            </w:r>
          </w:p>
        </w:tc>
        <w:tc>
          <w:tcPr>
            <w:tcW w:w="1843" w:type="dxa"/>
            <w:vAlign w:val="center"/>
          </w:tcPr>
          <w:p>
            <w:pPr>
              <w:pStyle w:val="单元格样式2"/>
            </w:pPr>
            <w:r>
              <w:t xml:space="preserve">工作人员满意情况</w:t>
            </w:r>
          </w:p>
        </w:tc>
      </w:tr>
    </w:tbl>
    <w:p>
      <w:pPr/>
    </w:p>
    <w:sectPr>
      <w:type w:val="nextPage"/>
      <w:pgSz w:w="11900" w:h="16840" w:orient="portrait"/>
      <w:pgMar w:top="1984" w:right="1304" w:bottom="1134" w:left="1304"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12</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2025-01-17T18:13:56Z</dcterms:created>
  <dcterms:modified xsi:type="dcterms:W3CDTF">2025-01-17T18:13:56Z</dcterms:modified>
</cp:coreProperties>
</file>