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3"/>
        <w:rPr>
          <w:rFonts w:hint="eastAsia" w:ascii="Times New Roman" w:hAnsi="宋体"/>
          <w:sz w:val="44"/>
        </w:rPr>
      </w:pPr>
      <w:bookmarkStart w:id="0" w:name="_Toc65252447"/>
      <w:r>
        <w:rPr>
          <w:rFonts w:hint="eastAsia" w:ascii="方正小标宋_GBK" w:eastAsia="方正小标宋_GBK"/>
          <w:sz w:val="44"/>
        </w:rPr>
        <w:t>八十、玉田县鸦鸿桥镇中学收支预算</w:t>
      </w:r>
      <w:bookmarkEnd w:id="0"/>
    </w:p>
    <w:p>
      <w:pPr>
        <w:jc w:val="center"/>
        <w:rPr>
          <w:rFonts w:hint="eastAsia" w:ascii="Times New Roman" w:hAnsi="宋体"/>
          <w:sz w:val="36"/>
        </w:rPr>
      </w:pPr>
      <w:r>
        <w:rPr>
          <w:rFonts w:hint="eastAsia" w:ascii="方正小标宋_GBK" w:eastAsia="方正小标宋_GBK"/>
          <w:sz w:val="36"/>
        </w:rPr>
        <w:t>单位预算收支总表</w:t>
      </w:r>
    </w:p>
    <w:tbl>
      <w:tblPr>
        <w:tblStyle w:val="2"/>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360080</w:t>
            </w:r>
            <w:r>
              <w:rPr>
                <w:rFonts w:hint="eastAsia" w:ascii="方正小标宋_GBK" w:eastAsia="方正小标宋_GBK"/>
                <w:sz w:val="24"/>
              </w:rPr>
              <w:t>玉田县鸦鸿桥镇中学</w:t>
            </w:r>
          </w:p>
        </w:tc>
        <w:tc>
          <w:tcPr>
            <w:tcW w:w="2126"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6661"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6661"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6661"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shd w:val="clear" w:color="auto" w:fill="auto"/>
            <w:noWrap w:val="0"/>
            <w:vAlign w:val="center"/>
          </w:tcPr>
          <w:p>
            <w:pPr>
              <w:spacing w:line="300" w:lineRule="exact"/>
              <w:jc w:val="left"/>
            </w:pP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45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一、一般公共预算拨款收入</w:t>
            </w:r>
          </w:p>
        </w:tc>
        <w:tc>
          <w:tcPr>
            <w:tcW w:w="212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9023678.18</w:t>
            </w:r>
          </w:p>
        </w:tc>
        <w:tc>
          <w:tcPr>
            <w:tcW w:w="45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二、政府性基金预算拨款收入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二、外交支出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三、国有资本经营预算拨款收入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三、国防支出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四、财政专户管理资金收入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四、公共安全支出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五、事业收入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五、教育支出</w:t>
            </w:r>
          </w:p>
        </w:tc>
        <w:tc>
          <w:tcPr>
            <w:tcW w:w="212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9023678.18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六、事业单位经营收入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六、科学技术支出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七、上级补助收入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七、文化旅游体育与传媒支出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八、附属单位上缴收入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八、社会保障和就业支出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九、其他收入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九、社会保险基金支出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十、卫生健康支出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十一、节能环保支出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十二、城乡社区支出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十三、农林水支出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十四、交通运输支出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十五、资源勘探工业信息等支出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16</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十六、商业服务业等支出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17</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十七、金融支出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18</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十八、援助其他地区支出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19</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十九、自然资源海洋气象等支出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20</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二十、住房保障支出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21</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二十一、粮油物资储备支出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22</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二十二、国有资本经营预算支出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23</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二十三、灾害防治及应急管理支出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24</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二十四、预备费</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25</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二十五、其他支出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26</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二十六、转移性支出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27</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二十七、债务还本支出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28</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二十八、债务付息支出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29</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二十九、债务发行费用支出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三十、抗疫特别国债安排的支出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31</w:t>
            </w:r>
          </w:p>
        </w:tc>
        <w:tc>
          <w:tcPr>
            <w:tcW w:w="4535"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本年收入合计</w:t>
            </w:r>
          </w:p>
        </w:tc>
        <w:tc>
          <w:tcPr>
            <w:tcW w:w="2126"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9023678.18</w:t>
            </w:r>
          </w:p>
        </w:tc>
        <w:tc>
          <w:tcPr>
            <w:tcW w:w="4535"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本年支出合计</w:t>
            </w:r>
          </w:p>
        </w:tc>
        <w:tc>
          <w:tcPr>
            <w:tcW w:w="2126"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9023678.18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32</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上年结转结余</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年终结转结余</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33</w:t>
            </w:r>
          </w:p>
        </w:tc>
        <w:tc>
          <w:tcPr>
            <w:tcW w:w="4535"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收入总计</w:t>
            </w:r>
          </w:p>
        </w:tc>
        <w:tc>
          <w:tcPr>
            <w:tcW w:w="2126"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9023678.18</w:t>
            </w:r>
          </w:p>
        </w:tc>
        <w:tc>
          <w:tcPr>
            <w:tcW w:w="4535"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支出总计</w:t>
            </w:r>
          </w:p>
        </w:tc>
        <w:tc>
          <w:tcPr>
            <w:tcW w:w="2126"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9023678.18</w:t>
            </w: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hint="eastAsia" w:ascii="Times New Roman" w:hAnsi="宋体"/>
          <w:sz w:val="36"/>
        </w:rPr>
      </w:pPr>
      <w:r>
        <w:rPr>
          <w:rFonts w:hint="eastAsia" w:ascii="方正小标宋_GBK" w:eastAsia="方正小标宋_GBK"/>
          <w:sz w:val="36"/>
        </w:rPr>
        <w:t>单位预算收入总表</w:t>
      </w:r>
    </w:p>
    <w:tbl>
      <w:tblPr>
        <w:tblStyle w:val="2"/>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360080</w:t>
            </w:r>
            <w:r>
              <w:rPr>
                <w:rFonts w:hint="eastAsia" w:ascii="方正小标宋_GBK" w:eastAsia="方正小标宋_GBK"/>
                <w:sz w:val="24"/>
              </w:rPr>
              <w:t>玉田县鸦鸿桥镇中学</w:t>
            </w:r>
          </w:p>
        </w:tc>
        <w:tc>
          <w:tcPr>
            <w:tcW w:w="3402"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670" w:type="dxa"/>
            <w:gridSpan w:val="5"/>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2551"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072" w:type="dxa"/>
            <w:gridSpan w:val="8"/>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本年收入</w:t>
            </w:r>
          </w:p>
        </w:tc>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shd w:val="clear" w:color="auto" w:fill="auto"/>
            <w:noWrap w:val="0"/>
            <w:vAlign w:val="center"/>
          </w:tcPr>
          <w:p>
            <w:pPr>
              <w:spacing w:line="300" w:lineRule="exact"/>
              <w:jc w:val="left"/>
            </w:pPr>
          </w:p>
        </w:tc>
        <w:tc>
          <w:tcPr>
            <w:tcW w:w="992"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1559"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134" w:type="dxa"/>
            <w:vMerge w:val="continue"/>
            <w:shd w:val="clear" w:color="auto" w:fill="auto"/>
            <w:noWrap w:val="0"/>
            <w:vAlign w:val="center"/>
          </w:tcPr>
          <w:p>
            <w:pPr>
              <w:spacing w:line="300" w:lineRule="exact"/>
              <w:jc w:val="left"/>
            </w:pP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小计</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财政拨款</w:t>
            </w:r>
            <w:r>
              <w:rPr>
                <w:rFonts w:ascii="方正书宋_GBK" w:eastAsia="方正书宋_GBK"/>
                <w:b/>
              </w:rPr>
              <w:t xml:space="preserve"> </w:t>
            </w:r>
            <w:r>
              <w:rPr>
                <w:rFonts w:hint="eastAsia" w:ascii="方正书宋_GBK" w:eastAsia="方正书宋_GBK"/>
                <w:b/>
              </w:rPr>
              <w:t>收入</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收入</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事业收入</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经营收入</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上级补助收入</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附属单位上缴收入</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其他收入</w:t>
            </w:r>
          </w:p>
        </w:tc>
        <w:tc>
          <w:tcPr>
            <w:tcW w:w="1134"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1559"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7</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8</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9</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11</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992" w:type="dxa"/>
            <w:shd w:val="clear" w:color="auto" w:fill="auto"/>
            <w:noWrap w:val="0"/>
            <w:vAlign w:val="center"/>
          </w:tcPr>
          <w:p>
            <w:pPr>
              <w:spacing w:line="300" w:lineRule="exact"/>
              <w:jc w:val="left"/>
              <w:rPr>
                <w:rFonts w:ascii="方正书宋_GBK" w:eastAsia="方正书宋_GBK"/>
                <w:b/>
              </w:rPr>
            </w:pPr>
          </w:p>
        </w:tc>
        <w:tc>
          <w:tcPr>
            <w:tcW w:w="1559"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9023678.18</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9023678.18</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9023678.18</w:t>
            </w: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205</w:t>
            </w:r>
          </w:p>
        </w:tc>
        <w:tc>
          <w:tcPr>
            <w:tcW w:w="155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教育支出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9023678.18</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9023678.18</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9023678.18</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20502</w:t>
            </w:r>
          </w:p>
        </w:tc>
        <w:tc>
          <w:tcPr>
            <w:tcW w:w="155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普通教育</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9023678.18</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9023678.18</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9023678.18</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2050203</w:t>
            </w:r>
          </w:p>
        </w:tc>
        <w:tc>
          <w:tcPr>
            <w:tcW w:w="155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初中教育</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9023678.18</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9023678.18</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9023678.18</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sz w:val="36"/>
        </w:rPr>
      </w:pPr>
      <w:r>
        <w:rPr>
          <w:rFonts w:hint="eastAsia" w:ascii="方正小标宋_GBK" w:eastAsia="方正小标宋_GBK"/>
          <w:sz w:val="36"/>
        </w:rPr>
        <w:t>部门预算支出总表</w:t>
      </w:r>
    </w:p>
    <w:tbl>
      <w:tblPr>
        <w:tblStyle w:val="2"/>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360080</w:t>
            </w:r>
            <w:r>
              <w:rPr>
                <w:rFonts w:hint="eastAsia" w:ascii="方正小标宋_GBK" w:eastAsia="方正小标宋_GBK"/>
                <w:sz w:val="24"/>
              </w:rPr>
              <w:t>玉田县鸦鸿桥镇中学</w:t>
            </w:r>
          </w:p>
        </w:tc>
        <w:tc>
          <w:tcPr>
            <w:tcW w:w="272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444"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527"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经营支出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上解上级</w:t>
            </w:r>
            <w:r>
              <w:rPr>
                <w:rFonts w:ascii="方正书宋_GBK" w:eastAsia="方正书宋_GBK"/>
                <w:b/>
              </w:rPr>
              <w:t xml:space="preserve"> </w:t>
            </w:r>
            <w:r>
              <w:rPr>
                <w:rFonts w:hint="eastAsia" w:ascii="方正书宋_GBK" w:eastAsia="方正书宋_GBK"/>
                <w:b/>
              </w:rPr>
              <w:t>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992"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7</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992"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9023678.18</w:t>
            </w:r>
          </w:p>
        </w:tc>
        <w:tc>
          <w:tcPr>
            <w:tcW w:w="136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7252878.18</w:t>
            </w:r>
          </w:p>
        </w:tc>
        <w:tc>
          <w:tcPr>
            <w:tcW w:w="136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1770800.00</w:t>
            </w:r>
          </w:p>
        </w:tc>
        <w:tc>
          <w:tcPr>
            <w:tcW w:w="1361" w:type="dxa"/>
            <w:shd w:val="clear" w:color="auto" w:fill="auto"/>
            <w:noWrap w:val="0"/>
            <w:vAlign w:val="center"/>
          </w:tcPr>
          <w:p>
            <w:pPr>
              <w:spacing w:line="300" w:lineRule="exact"/>
              <w:jc w:val="right"/>
              <w:rPr>
                <w:rFonts w:ascii="方正书宋_GBK" w:eastAsia="方正书宋_GBK"/>
                <w:b/>
              </w:rPr>
            </w:pPr>
          </w:p>
        </w:tc>
        <w:tc>
          <w:tcPr>
            <w:tcW w:w="1361" w:type="dxa"/>
            <w:shd w:val="clear" w:color="auto" w:fill="auto"/>
            <w:noWrap w:val="0"/>
            <w:vAlign w:val="center"/>
          </w:tcPr>
          <w:p>
            <w:pPr>
              <w:spacing w:line="300" w:lineRule="exact"/>
              <w:jc w:val="right"/>
              <w:rPr>
                <w:rFonts w:ascii="方正书宋_GBK" w:eastAsia="方正书宋_GBK"/>
                <w:b/>
              </w:rPr>
            </w:pPr>
          </w:p>
        </w:tc>
        <w:tc>
          <w:tcPr>
            <w:tcW w:w="1361"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205</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教育支出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9023678.18</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7252878.18</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1770800.00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20502</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普通教育</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9023678.18</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7252878.18</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1770800.00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2050203</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初中教育</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9023678.18</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7252878.18</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1770800.00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sz w:val="36"/>
        </w:rPr>
      </w:pPr>
      <w:r>
        <w:rPr>
          <w:rFonts w:hint="eastAsia" w:ascii="方正小标宋_GBK" w:eastAsia="方正小标宋_GBK"/>
          <w:sz w:val="36"/>
        </w:rPr>
        <w:t>单位预算财政拨款收支总表</w:t>
      </w:r>
    </w:p>
    <w:tbl>
      <w:tblPr>
        <w:tblStyle w:val="2"/>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360080</w:t>
            </w:r>
            <w:r>
              <w:rPr>
                <w:rFonts w:hint="eastAsia" w:ascii="方正小标宋_GBK" w:eastAsia="方正小标宋_GBK"/>
                <w:sz w:val="24"/>
              </w:rPr>
              <w:t>玉田县鸦鸿桥镇中学</w:t>
            </w:r>
          </w:p>
        </w:tc>
        <w:tc>
          <w:tcPr>
            <w:tcW w:w="3402"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896"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4876"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9298" w:type="dxa"/>
            <w:gridSpan w:val="5"/>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shd w:val="clear" w:color="auto" w:fill="auto"/>
            <w:noWrap w:val="0"/>
            <w:vAlign w:val="center"/>
          </w:tcPr>
          <w:p>
            <w:pPr>
              <w:spacing w:line="300" w:lineRule="exact"/>
              <w:jc w:val="left"/>
            </w:pPr>
          </w:p>
        </w:tc>
        <w:tc>
          <w:tcPr>
            <w:tcW w:w="3402"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金额</w:t>
            </w:r>
          </w:p>
        </w:tc>
        <w:tc>
          <w:tcPr>
            <w:tcW w:w="3402"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47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一般公共预算财政拨款</w:t>
            </w:r>
          </w:p>
        </w:tc>
        <w:tc>
          <w:tcPr>
            <w:tcW w:w="147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政府性基金预算财政拨款</w:t>
            </w:r>
          </w:p>
        </w:tc>
        <w:tc>
          <w:tcPr>
            <w:tcW w:w="147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3402"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9023678.18</w:t>
            </w:r>
          </w:p>
        </w:tc>
        <w:tc>
          <w:tcPr>
            <w:tcW w:w="3402"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二、政府性基金预算拨款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二、外交支出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三、国有资本经营预算拨款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三、国防支出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四、公共安全支出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五、教育支出</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9023678.18</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9023678.18</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六、科学技术支出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七、文化旅游体育与传媒支出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八、社会保障和就业支出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九、社会保险基金支出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十、卫生健康支出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十一、节能环保支出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十二、城乡社区支出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十三、农林水支出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十四、交通运输支出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十五、资源勘探工业信息等支出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16</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十六、商业服务业等支出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17</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十七、金融支出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18</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十八、援助其他地区支出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19</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十九、自然资源海洋气象等支出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20</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二十、住房保障支出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21</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二十一、粮油物资储备支出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22</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二十二、国有资本经营预算支出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23</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二十三、灾害防治及应急管理支出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24</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二十四、预备费</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25</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二十五、其他支出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26</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二十六、转移性支出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27</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二十七、债务还本支出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28</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二十八、债务付息支出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29</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二十九、债务发行费用支出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三十、抗疫特别国债安排的支出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31</w:t>
            </w:r>
          </w:p>
        </w:tc>
        <w:tc>
          <w:tcPr>
            <w:tcW w:w="3402"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本年收入合计</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9023678.18</w:t>
            </w:r>
          </w:p>
        </w:tc>
        <w:tc>
          <w:tcPr>
            <w:tcW w:w="3402"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本年支出合计</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9023678.18</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9023678.18</w:t>
            </w:r>
          </w:p>
        </w:tc>
        <w:tc>
          <w:tcPr>
            <w:tcW w:w="1474" w:type="dxa"/>
            <w:shd w:val="clear" w:color="auto" w:fill="auto"/>
            <w:noWrap w:val="0"/>
            <w:vAlign w:val="center"/>
          </w:tcPr>
          <w:p>
            <w:pPr>
              <w:spacing w:line="300" w:lineRule="exact"/>
              <w:jc w:val="right"/>
              <w:rPr>
                <w:rFonts w:ascii="方正书宋_GBK" w:eastAsia="方正书宋_GBK"/>
                <w:b/>
              </w:rPr>
            </w:pPr>
          </w:p>
        </w:tc>
        <w:tc>
          <w:tcPr>
            <w:tcW w:w="1474"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32</w:t>
            </w: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年初财政拨款结转和结余</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年末财政拨款结转和结余</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33</w:t>
            </w: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一、一般公共预算拨款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34</w:t>
            </w: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二、政府性基金预算拨款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35</w:t>
            </w: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三、国有资本经营预算拨款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36</w:t>
            </w:r>
          </w:p>
        </w:tc>
        <w:tc>
          <w:tcPr>
            <w:tcW w:w="3402"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收入总计</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9023678.18</w:t>
            </w:r>
          </w:p>
        </w:tc>
        <w:tc>
          <w:tcPr>
            <w:tcW w:w="3402"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支出总计</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9023678.18</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9023678.18</w:t>
            </w:r>
          </w:p>
        </w:tc>
        <w:tc>
          <w:tcPr>
            <w:tcW w:w="1474" w:type="dxa"/>
            <w:shd w:val="clear" w:color="auto" w:fill="auto"/>
            <w:noWrap w:val="0"/>
            <w:vAlign w:val="center"/>
          </w:tcPr>
          <w:p>
            <w:pPr>
              <w:spacing w:line="300" w:lineRule="exact"/>
              <w:jc w:val="right"/>
              <w:rPr>
                <w:rFonts w:ascii="方正书宋_GBK" w:eastAsia="方正书宋_GBK"/>
                <w:b/>
              </w:rPr>
            </w:pPr>
          </w:p>
        </w:tc>
        <w:tc>
          <w:tcPr>
            <w:tcW w:w="1474" w:type="dxa"/>
            <w:shd w:val="clear" w:color="auto" w:fill="auto"/>
            <w:noWrap w:val="0"/>
            <w:vAlign w:val="center"/>
          </w:tcPr>
          <w:p>
            <w:pPr>
              <w:spacing w:line="300" w:lineRule="exact"/>
              <w:jc w:val="right"/>
              <w:rPr>
                <w:rFonts w:ascii="方正书宋_GBK" w:eastAsia="方正书宋_GBK"/>
                <w:b/>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sz w:val="36"/>
        </w:rPr>
      </w:pPr>
      <w:r>
        <w:rPr>
          <w:rFonts w:hint="eastAsia" w:ascii="方正小标宋_GBK" w:eastAsia="方正小标宋_GBK"/>
          <w:sz w:val="36"/>
        </w:rPr>
        <w:t>单位预算一般公共预算财政拨款支出表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360080</w:t>
            </w:r>
            <w:r>
              <w:rPr>
                <w:rFonts w:hint="eastAsia" w:ascii="方正小标宋_GBK" w:eastAsia="方正小标宋_GBK"/>
                <w:sz w:val="24"/>
              </w:rPr>
              <w:t>玉田县鸦鸿桥镇中学</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9023678.18</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7252878.18</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1770800.00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205</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教育支出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9023678.18</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7252878.18</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1770800.00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20502</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普通教育</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9023678.18</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7252878.18</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1770800.00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2050203</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初中教育</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9023678.18</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7252878.18</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1770800.00</w:t>
            </w: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sz w:val="36"/>
        </w:rPr>
      </w:pPr>
      <w:r>
        <w:rPr>
          <w:rFonts w:hint="eastAsia" w:ascii="方正小标宋_GBK" w:eastAsia="方正小标宋_GBK"/>
          <w:sz w:val="36"/>
        </w:rPr>
        <w:t>部门预算一般公共预算财政拨款基本支出表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360080</w:t>
            </w:r>
            <w:r>
              <w:rPr>
                <w:rFonts w:hint="eastAsia" w:ascii="方正小标宋_GBK" w:eastAsia="方正小标宋_GBK"/>
                <w:sz w:val="24"/>
              </w:rPr>
              <w:t>玉田县鸦鸿桥镇中学</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支出部门经济分类科目</w:t>
            </w:r>
          </w:p>
        </w:tc>
        <w:tc>
          <w:tcPr>
            <w:tcW w:w="7653" w:type="dxa"/>
            <w:gridSpan w:val="3"/>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人员经费</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7252878.18</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7080969.59</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171908.59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工资福利支出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7077969.59</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7077969.59</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30101</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基本工资</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2804099.16</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2804099.16</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30102</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津贴补贴</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898800.00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898800.00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30103</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奖金</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382099.00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382099.00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30107</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绩效工资</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2992971.43</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2992971.43</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商品和服务支出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171908.59</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171908.59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30228</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工会经费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97151.00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97151.00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30229</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福利费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74757.59</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74757.59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303</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对个人和家庭的补助</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30309</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奖励金</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w:t>
            </w:r>
          </w:p>
        </w:tc>
        <w:tc>
          <w:tcPr>
            <w:tcW w:w="2551" w:type="dxa"/>
            <w:shd w:val="clear" w:color="auto" w:fill="auto"/>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sz w:val="36"/>
        </w:rPr>
      </w:pPr>
      <w:r>
        <w:rPr>
          <w:rFonts w:hint="eastAsia" w:ascii="方正小标宋_GBK" w:eastAsia="方正小标宋_GBK"/>
          <w:sz w:val="36"/>
        </w:rPr>
        <w:t>单位预算政府基金预算财政拨款支出表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360080</w:t>
            </w:r>
            <w:r>
              <w:rPr>
                <w:rFonts w:hint="eastAsia" w:ascii="方正小标宋_GBK" w:eastAsia="方正小标宋_GBK"/>
                <w:sz w:val="24"/>
              </w:rPr>
              <w:t>玉田县鸦鸿桥镇中学</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rPr>
      </w:pPr>
      <w:r>
        <w:rPr>
          <w:rFonts w:hint="eastAsia" w:ascii="方正书宋_GBK" w:eastAsia="方正书宋_GBK"/>
        </w:rPr>
        <w:t>注：无政府基金预算财政拨款预算，空表列示。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sz w:val="36"/>
        </w:rPr>
      </w:pPr>
      <w:r>
        <w:rPr>
          <w:rFonts w:hint="eastAsia" w:ascii="方正小标宋_GBK" w:eastAsia="方正小标宋_GBK"/>
          <w:sz w:val="36"/>
        </w:rPr>
        <w:t>单位预算国有资本经营预算财政拨款支出表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360080</w:t>
            </w:r>
            <w:r>
              <w:rPr>
                <w:rFonts w:hint="eastAsia" w:ascii="方正小标宋_GBK" w:eastAsia="方正小标宋_GBK"/>
                <w:sz w:val="24"/>
              </w:rPr>
              <w:t>玉田县鸦鸿桥镇中学</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rPr>
      </w:pPr>
      <w:r>
        <w:rPr>
          <w:rFonts w:hint="eastAsia" w:ascii="方正书宋_GBK" w:eastAsia="方正书宋_GBK"/>
        </w:rPr>
        <w:t>注：无国有资本经营预算财政拨款预算，空表列示。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sz w:val="36"/>
        </w:rPr>
      </w:pPr>
      <w:r>
        <w:rPr>
          <w:rFonts w:hint="eastAsia" w:ascii="方正小标宋_GBK" w:eastAsia="方正小标宋_GBK"/>
          <w:sz w:val="36"/>
        </w:rPr>
        <w:t>单位预算财政拨款“三公”经费支出表</w:t>
      </w:r>
    </w:p>
    <w:tbl>
      <w:tblPr>
        <w:tblStyle w:val="2"/>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360080</w:t>
            </w:r>
            <w:r>
              <w:rPr>
                <w:rFonts w:hint="eastAsia" w:ascii="方正小标宋_GBK" w:eastAsia="方正小标宋_GBK"/>
                <w:sz w:val="24"/>
              </w:rPr>
              <w:t>玉田县鸦鸿桥镇中学</w:t>
            </w:r>
          </w:p>
        </w:tc>
        <w:tc>
          <w:tcPr>
            <w:tcW w:w="238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476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3798"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9524" w:type="dxa"/>
            <w:gridSpan w:val="4"/>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性</w:t>
            </w:r>
            <w:r>
              <w:rPr>
                <w:rFonts w:ascii="方正书宋_GBK" w:eastAsia="方正书宋_GBK"/>
                <w:b/>
              </w:rPr>
              <w:t xml:space="preserve"> </w:t>
            </w:r>
            <w:r>
              <w:rPr>
                <w:rFonts w:hint="eastAsia" w:ascii="方正书宋_GBK" w:eastAsia="方正书宋_GBK"/>
                <w:b/>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shd w:val="clear" w:color="auto" w:fill="auto"/>
            <w:noWrap w:val="0"/>
            <w:vAlign w:val="center"/>
          </w:tcPr>
          <w:p>
            <w:pPr>
              <w:spacing w:line="300" w:lineRule="exact"/>
              <w:jc w:val="left"/>
            </w:pPr>
          </w:p>
        </w:tc>
        <w:tc>
          <w:tcPr>
            <w:tcW w:w="3798" w:type="dxa"/>
            <w:vMerge w:val="continue"/>
            <w:shd w:val="clear" w:color="auto" w:fill="auto"/>
            <w:noWrap w:val="0"/>
            <w:vAlign w:val="center"/>
          </w:tcPr>
          <w:p>
            <w:pPr>
              <w:spacing w:line="300" w:lineRule="exact"/>
              <w:jc w:val="left"/>
            </w:pPr>
          </w:p>
        </w:tc>
        <w:tc>
          <w:tcPr>
            <w:tcW w:w="238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财政拨款</w:t>
            </w:r>
          </w:p>
        </w:tc>
        <w:tc>
          <w:tcPr>
            <w:tcW w:w="238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政府性基金</w:t>
            </w:r>
            <w:r>
              <w:rPr>
                <w:rFonts w:ascii="方正书宋_GBK" w:eastAsia="方正书宋_GBK"/>
                <w:b/>
              </w:rPr>
              <w:t xml:space="preserve">         </w:t>
            </w:r>
            <w:r>
              <w:rPr>
                <w:rFonts w:hint="eastAsia" w:ascii="方正书宋_GBK" w:eastAsia="方正书宋_GBK"/>
                <w:b/>
              </w:rPr>
              <w:t>预算拨款</w:t>
            </w:r>
          </w:p>
        </w:tc>
        <w:tc>
          <w:tcPr>
            <w:tcW w:w="238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79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3798" w:type="dxa"/>
            <w:shd w:val="clear" w:color="auto" w:fill="auto"/>
            <w:noWrap w:val="0"/>
            <w:vAlign w:val="center"/>
          </w:tcPr>
          <w:p>
            <w:pPr>
              <w:spacing w:line="300" w:lineRule="exact"/>
              <w:jc w:val="center"/>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rPr>
      </w:pPr>
      <w:r>
        <w:rPr>
          <w:rFonts w:hint="eastAsia" w:ascii="方正书宋_GBK" w:eastAsia="方正书宋_GBK"/>
        </w:rPr>
        <w:t>注：无财政拨款“三公”经费支出表预算，空表列示。</w:t>
      </w:r>
    </w:p>
    <w:p>
      <w:pPr>
        <w:ind w:firstLine="420" w:firstLineChars="200"/>
        <w:jc w:val="left"/>
        <w:sectPr>
          <w:pgSz w:w="16839" w:h="11907" w:orient="landscape"/>
          <w:pgMar w:top="1361" w:right="1020" w:bottom="1361" w:left="1020" w:header="851" w:footer="992" w:gutter="0"/>
          <w:cols w:space="425" w:num="1"/>
          <w:docGrid w:type="lines" w:linePitch="312" w:charSpace="0"/>
        </w:sectPr>
      </w:pPr>
    </w:p>
    <w:p>
      <w:pPr>
        <w:jc w:val="center"/>
        <w:rPr>
          <w:rFonts w:hint="eastAsia" w:ascii="Times New Roman" w:hAnsi="宋体"/>
          <w:sz w:val="44"/>
        </w:rPr>
      </w:pPr>
      <w:r>
        <w:rPr>
          <w:rFonts w:hint="eastAsia" w:ascii="方正小标宋_GBK" w:eastAsia="方正小标宋_GBK"/>
          <w:sz w:val="44"/>
        </w:rPr>
        <w:t>玉田县鸦鸿桥镇中学2021年部门预算信息公开情况说明</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按照《预算法》、《地方预决算公开操作规程》和《河北省省级预算公开办法》规定，现将玉田县鸦鸿桥镇中学2021年部门预算公开如下：</w:t>
      </w:r>
    </w:p>
    <w:p>
      <w:pPr>
        <w:spacing w:before="156" w:beforeLines="50" w:after="156" w:afterLines="50"/>
        <w:ind w:firstLine="640" w:firstLineChars="200"/>
        <w:jc w:val="left"/>
        <w:rPr>
          <w:rFonts w:hint="eastAsia" w:ascii="Times New Roman" w:hAnsi="宋体"/>
          <w:sz w:val="32"/>
        </w:rPr>
      </w:pPr>
      <w:r>
        <w:rPr>
          <w:rFonts w:hint="eastAsia" w:ascii="黑体" w:hAnsi="黑体" w:eastAsia="黑体"/>
          <w:sz w:val="32"/>
        </w:rPr>
        <w:t>一、单位职责及机构设置情况</w:t>
      </w:r>
    </w:p>
    <w:p>
      <w:pPr>
        <w:ind w:firstLine="643" w:firstLineChars="200"/>
        <w:jc w:val="left"/>
        <w:rPr>
          <w:rFonts w:hint="eastAsia" w:ascii="Times New Roman" w:hAnsi="宋体"/>
          <w:b/>
          <w:sz w:val="32"/>
        </w:rPr>
      </w:pPr>
      <w:r>
        <w:rPr>
          <w:rFonts w:hint="eastAsia" w:ascii="方正楷体_GBK" w:eastAsia="方正楷体_GBK"/>
          <w:b/>
          <w:sz w:val="32"/>
        </w:rPr>
        <w:t>单位职责：</w:t>
      </w:r>
    </w:p>
    <w:p>
      <w:pPr>
        <w:spacing w:line="500" w:lineRule="exact"/>
        <w:ind w:firstLine="560" w:firstLineChars="200"/>
        <w:jc w:val="left"/>
        <w:rPr>
          <w:rFonts w:ascii="Times New Roman" w:eastAsia="方正仿宋_GBK"/>
          <w:sz w:val="28"/>
        </w:rPr>
      </w:pPr>
    </w:p>
    <w:p>
      <w:pPr>
        <w:ind w:firstLine="643" w:firstLineChars="200"/>
        <w:jc w:val="left"/>
        <w:rPr>
          <w:rFonts w:hint="eastAsia" w:ascii="Times New Roman" w:hAnsi="宋体"/>
          <w:b/>
          <w:sz w:val="32"/>
        </w:rPr>
      </w:pPr>
      <w:r>
        <w:rPr>
          <w:rFonts w:hint="eastAsia" w:ascii="方正楷体_GBK" w:eastAsia="方正楷体_GBK"/>
          <w:b/>
          <w:sz w:val="32"/>
        </w:rPr>
        <w:t>机构设置：</w:t>
      </w:r>
    </w:p>
    <w:p>
      <w:pPr>
        <w:jc w:val="center"/>
        <w:rPr>
          <w:rFonts w:hint="eastAsia" w:ascii="Times New Roman" w:hAnsi="宋体"/>
          <w:sz w:val="32"/>
        </w:rPr>
      </w:pPr>
      <w:r>
        <w:rPr>
          <w:rFonts w:hint="eastAsia" w:ascii="方正小标宋_GBK" w:eastAsia="方正小标宋_GBK"/>
          <w:sz w:val="32"/>
        </w:rPr>
        <w:t>单位机构设置情况</w:t>
      </w:r>
    </w:p>
    <w:tbl>
      <w:tblPr>
        <w:tblStyle w:val="2"/>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843"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212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382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玉田县鸦鸿桥镇中学</w:t>
            </w:r>
          </w:p>
        </w:tc>
        <w:tc>
          <w:tcPr>
            <w:tcW w:w="1843"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事业</w:t>
            </w:r>
          </w:p>
        </w:tc>
        <w:tc>
          <w:tcPr>
            <w:tcW w:w="2126"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未定行政级别</w:t>
            </w:r>
          </w:p>
        </w:tc>
        <w:tc>
          <w:tcPr>
            <w:tcW w:w="382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bl>
    <w:p>
      <w:pPr>
        <w:spacing w:before="156" w:beforeLines="50" w:after="156" w:afterLines="50"/>
        <w:ind w:firstLine="640" w:firstLineChars="200"/>
        <w:jc w:val="left"/>
        <w:rPr>
          <w:rFonts w:hint="eastAsia" w:ascii="Times New Roman" w:hAnsi="宋体"/>
          <w:sz w:val="32"/>
        </w:rPr>
      </w:pPr>
      <w:r>
        <w:rPr>
          <w:rFonts w:hint="eastAsia" w:ascii="黑体" w:hAnsi="黑体" w:eastAsia="黑体"/>
          <w:sz w:val="32"/>
        </w:rPr>
        <w:t>二、单位预算安排的总体情况</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按照预算管理有关规定，目前我省部门预算的编制实行综合预算管理，即全部收入和支出都反映在预算中。玉田县教育局机关及所属事业单位的收支包含在部门预算中。</w:t>
      </w:r>
    </w:p>
    <w:p>
      <w:pPr>
        <w:spacing w:line="500" w:lineRule="exact"/>
        <w:ind w:firstLine="560" w:firstLineChars="200"/>
        <w:jc w:val="left"/>
        <w:rPr>
          <w:rFonts w:ascii="Times New Roman" w:eastAsia="方正仿宋_GBK"/>
          <w:sz w:val="28"/>
        </w:rPr>
      </w:pPr>
    </w:p>
    <w:p>
      <w:pPr>
        <w:spacing w:before="156" w:beforeLines="50" w:after="156" w:afterLines="50"/>
        <w:ind w:firstLine="640" w:firstLineChars="200"/>
        <w:jc w:val="left"/>
        <w:rPr>
          <w:rFonts w:hint="eastAsia" w:ascii="Times New Roman" w:hAnsi="宋体"/>
          <w:sz w:val="32"/>
        </w:rPr>
      </w:pPr>
      <w:r>
        <w:rPr>
          <w:rFonts w:hint="eastAsia" w:ascii="黑体" w:hAnsi="黑体" w:eastAsia="黑体"/>
          <w:sz w:val="32"/>
        </w:rPr>
        <w:t>三、机关运行经费安排情况</w:t>
      </w:r>
    </w:p>
    <w:p>
      <w:pPr>
        <w:spacing w:line="500" w:lineRule="exact"/>
        <w:ind w:firstLine="560" w:firstLineChars="200"/>
        <w:jc w:val="left"/>
        <w:rPr>
          <w:rFonts w:ascii="Times New Roman" w:eastAsia="方正仿宋_GBK"/>
          <w:sz w:val="28"/>
        </w:rPr>
      </w:pPr>
    </w:p>
    <w:p>
      <w:pPr>
        <w:spacing w:before="156" w:beforeLines="50" w:after="156" w:afterLines="50"/>
        <w:ind w:firstLine="640" w:firstLineChars="200"/>
        <w:jc w:val="left"/>
        <w:rPr>
          <w:rFonts w:hint="eastAsia" w:ascii="Times New Roman" w:hAnsi="宋体"/>
          <w:sz w:val="32"/>
        </w:rPr>
      </w:pPr>
      <w:r>
        <w:rPr>
          <w:rFonts w:hint="eastAsia" w:ascii="黑体" w:hAnsi="黑体" w:eastAsia="黑体"/>
          <w:sz w:val="32"/>
        </w:rPr>
        <w:t>四、财政拨款</w:t>
      </w:r>
      <w:r>
        <w:rPr>
          <w:rFonts w:hint="cs" w:ascii="黑体" w:hAnsi="黑体" w:eastAsia="黑体"/>
          <w:sz w:val="32"/>
        </w:rPr>
        <w:t>“</w:t>
      </w:r>
      <w:r>
        <w:rPr>
          <w:rFonts w:hint="eastAsia" w:ascii="黑体" w:hAnsi="黑体" w:eastAsia="黑体"/>
          <w:sz w:val="32"/>
        </w:rPr>
        <w:t>三公</w:t>
      </w:r>
      <w:r>
        <w:rPr>
          <w:rFonts w:hint="cs" w:ascii="黑体" w:hAnsi="黑体" w:eastAsia="黑体"/>
          <w:sz w:val="32"/>
        </w:rPr>
        <w:t>”</w:t>
      </w:r>
      <w:r>
        <w:rPr>
          <w:rFonts w:hint="eastAsia" w:ascii="黑体" w:hAnsi="黑体" w:eastAsia="黑体"/>
          <w:sz w:val="32"/>
        </w:rPr>
        <w:t>经费预算情况及增减变化原因</w:t>
      </w:r>
    </w:p>
    <w:p>
      <w:pPr>
        <w:spacing w:line="500" w:lineRule="exact"/>
        <w:ind w:firstLine="560" w:firstLineChars="200"/>
        <w:jc w:val="left"/>
        <w:rPr>
          <w:rFonts w:ascii="Times New Roman" w:eastAsia="方正仿宋_GBK"/>
          <w:sz w:val="28"/>
        </w:rPr>
      </w:pPr>
    </w:p>
    <w:p>
      <w:pPr>
        <w:spacing w:before="156" w:beforeLines="50" w:after="156" w:afterLines="50"/>
        <w:ind w:firstLine="640" w:firstLineChars="200"/>
        <w:jc w:val="left"/>
        <w:rPr>
          <w:rFonts w:hint="eastAsia" w:ascii="Times New Roman" w:hAnsi="宋体"/>
          <w:sz w:val="32"/>
        </w:rPr>
      </w:pPr>
      <w:r>
        <w:rPr>
          <w:rFonts w:hint="eastAsia" w:ascii="黑体" w:hAnsi="黑体" w:eastAsia="黑体"/>
          <w:sz w:val="32"/>
        </w:rPr>
        <w:t>五、预算绩效信息</w:t>
      </w:r>
    </w:p>
    <w:p>
      <w:pPr>
        <w:spacing w:before="156" w:beforeLines="50" w:after="156" w:afterLines="50"/>
        <w:ind w:firstLine="560" w:firstLineChars="200"/>
        <w:jc w:val="left"/>
        <w:rPr>
          <w:rFonts w:ascii="Times New Roman" w:eastAsia="方正仿宋_GBK"/>
          <w:sz w:val="28"/>
        </w:rPr>
      </w:pPr>
    </w:p>
    <w:p>
      <w:pPr>
        <w:ind w:firstLine="562" w:firstLineChars="200"/>
        <w:jc w:val="left"/>
        <w:rPr>
          <w:rFonts w:hint="eastAsia" w:ascii="Times New Roman" w:hAnsi="宋体"/>
          <w:b/>
          <w:sz w:val="28"/>
        </w:rPr>
      </w:pPr>
      <w:r>
        <w:rPr>
          <w:rFonts w:hint="eastAsia" w:ascii="方正仿宋_GBK" w:eastAsia="方正仿宋_GBK"/>
          <w:b/>
          <w:sz w:val="28"/>
        </w:rPr>
        <w:t>1、冀财教（2020）154号中央补助义务教育公用经费绩效目标表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按时完成绩效目标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保障各项支出按时发放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圆满完成绩效任务</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数量完成情况</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根据数据完成计划数</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根据计划完成数据情况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提高教学质量</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教学质量稳步提升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根据计划完成数据情况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完成及时率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完成及时率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根据计划完成数据情况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提升学校办学水平</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满足教学需求情况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根据计划完成数据情况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社会需求</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根据计划完成数据情况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促进可持续发展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综合服务受益对象满意度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综合评价等级</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综合评价等级</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综合服务受益对象满意度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系列文化活动参与者满意度情况</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系列文化活动参与者满意度情况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综合服务受益对象满意度</w:t>
            </w:r>
          </w:p>
        </w:tc>
      </w:tr>
    </w:tbl>
    <w:p>
      <w:pPr>
        <w:spacing w:line="300" w:lineRule="exact"/>
        <w:jc w:val="left"/>
      </w:pPr>
    </w:p>
    <w:p>
      <w:pPr>
        <w:ind w:firstLine="562" w:firstLineChars="200"/>
        <w:jc w:val="left"/>
        <w:rPr>
          <w:rFonts w:hint="eastAsia" w:ascii="Times New Roman" w:hAnsi="宋体"/>
          <w:b/>
          <w:sz w:val="28"/>
        </w:rPr>
      </w:pPr>
      <w:r>
        <w:rPr>
          <w:rFonts w:hint="eastAsia" w:ascii="方正仿宋_GBK" w:eastAsia="方正仿宋_GBK"/>
          <w:b/>
          <w:sz w:val="28"/>
        </w:rPr>
        <w:t>2、县级补助义务教育公用经费绩效目标表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按时完成绩效目标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保障各项支出按时发放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圆满完成绩效任务</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数量完成情况</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根据数据完成计划数</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根据计划完成数据情况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提高教学质量</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教学质量稳步提升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根据计划完成数据情况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完成及时率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完成及时率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根据计划完成数据情况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提升学校办学水平</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满足教学需求情况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根据计划完成数据情况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社会需求</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根据计划完成数据情况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促进可持续发展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综合服务受益对象满意度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综合评价等级</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综合评价等级</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综合服务受益对象满意度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系列文化活动参与者满意度情况</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系列文化活动参与者满意度情况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综合服务受益对象满意度</w:t>
            </w:r>
          </w:p>
        </w:tc>
      </w:tr>
    </w:tbl>
    <w:p>
      <w:pPr>
        <w:spacing w:line="300" w:lineRule="exact"/>
        <w:jc w:val="left"/>
      </w:pPr>
    </w:p>
    <w:p>
      <w:pPr>
        <w:spacing w:before="156" w:beforeLines="50" w:after="156" w:afterLines="50"/>
        <w:ind w:firstLine="640" w:firstLineChars="200"/>
        <w:jc w:val="left"/>
        <w:rPr>
          <w:rFonts w:hint="eastAsia" w:ascii="Times New Roman" w:hAnsi="宋体"/>
          <w:sz w:val="32"/>
        </w:rPr>
      </w:pPr>
      <w:r>
        <w:rPr>
          <w:rFonts w:hint="eastAsia" w:ascii="黑体" w:eastAsia="黑体"/>
          <w:sz w:val="32"/>
        </w:rPr>
        <w:t>六、政府采购预算情况</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2021年，玉田县鸦鸿桥镇中学安排政府采购预算0.00万元。</w:t>
      </w:r>
    </w:p>
    <w:p>
      <w:pPr>
        <w:jc w:val="center"/>
        <w:rPr>
          <w:rFonts w:hint="eastAsia" w:ascii="Times New Roman" w:hAnsi="宋体"/>
          <w:sz w:val="36"/>
        </w:rPr>
      </w:pPr>
      <w:r>
        <w:rPr>
          <w:rFonts w:hint="eastAsia" w:ascii="方正小标宋_GBK" w:eastAsia="方正小标宋_GBK"/>
          <w:sz w:val="36"/>
        </w:rPr>
        <w:t>单位政府采购预算</w:t>
      </w:r>
    </w:p>
    <w:tbl>
      <w:tblPr>
        <w:tblStyle w:val="2"/>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360080</w:t>
            </w:r>
            <w:r>
              <w:rPr>
                <w:rFonts w:hint="eastAsia" w:ascii="方正小标宋_GBK" w:eastAsia="方正小标宋_GBK"/>
                <w:sz w:val="24"/>
              </w:rPr>
              <w:t>玉田县鸦鸿桥镇中学</w:t>
            </w:r>
          </w:p>
        </w:tc>
        <w:tc>
          <w:tcPr>
            <w:tcW w:w="6804"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shd w:val="clear" w:color="auto" w:fill="auto"/>
            <w:noWrap w:val="0"/>
            <w:vAlign w:val="center"/>
          </w:tcPr>
          <w:p>
            <w:pPr>
              <w:spacing w:line="300" w:lineRule="exact"/>
              <w:jc w:val="left"/>
            </w:pPr>
          </w:p>
        </w:tc>
        <w:tc>
          <w:tcPr>
            <w:tcW w:w="1531" w:type="dxa"/>
            <w:vMerge w:val="continue"/>
            <w:shd w:val="clear" w:color="auto" w:fill="auto"/>
            <w:noWrap w:val="0"/>
            <w:vAlign w:val="center"/>
          </w:tcPr>
          <w:p>
            <w:pPr>
              <w:spacing w:line="300" w:lineRule="exact"/>
              <w:jc w:val="left"/>
            </w:pPr>
          </w:p>
        </w:tc>
        <w:tc>
          <w:tcPr>
            <w:tcW w:w="709" w:type="dxa"/>
            <w:vMerge w:val="continue"/>
            <w:shd w:val="clear" w:color="auto" w:fill="auto"/>
            <w:noWrap w:val="0"/>
            <w:vAlign w:val="center"/>
          </w:tcPr>
          <w:p>
            <w:pPr>
              <w:spacing w:line="300" w:lineRule="exact"/>
              <w:jc w:val="left"/>
            </w:pPr>
          </w:p>
        </w:tc>
        <w:tc>
          <w:tcPr>
            <w:tcW w:w="907" w:type="dxa"/>
            <w:vMerge w:val="continue"/>
            <w:shd w:val="clear" w:color="auto" w:fill="auto"/>
            <w:noWrap w:val="0"/>
            <w:vAlign w:val="center"/>
          </w:tcPr>
          <w:p>
            <w:pPr>
              <w:spacing w:line="300" w:lineRule="exact"/>
              <w:jc w:val="left"/>
            </w:pPr>
          </w:p>
        </w:tc>
        <w:tc>
          <w:tcPr>
            <w:tcW w:w="907" w:type="dxa"/>
            <w:vMerge w:val="continue"/>
            <w:shd w:val="clear" w:color="auto" w:fill="auto"/>
            <w:noWrap w:val="0"/>
            <w:vAlign w:val="center"/>
          </w:tcPr>
          <w:p>
            <w:pPr>
              <w:spacing w:line="300" w:lineRule="exact"/>
              <w:jc w:val="left"/>
            </w:pP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0"/>
            <w:vAlign w:val="center"/>
          </w:tcPr>
          <w:p>
            <w:pPr>
              <w:spacing w:line="300" w:lineRule="exact"/>
              <w:jc w:val="center"/>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709" w:type="dxa"/>
            <w:shd w:val="clear" w:color="auto" w:fill="auto"/>
            <w:noWrap w:val="0"/>
            <w:vAlign w:val="center"/>
          </w:tcPr>
          <w:p>
            <w:pPr>
              <w:spacing w:line="300" w:lineRule="exact"/>
              <w:jc w:val="center"/>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rPr>
      </w:pPr>
      <w:r>
        <w:rPr>
          <w:rFonts w:hint="eastAsia" w:ascii="方正书宋_GBK" w:eastAsia="方正书宋_GBK"/>
        </w:rPr>
        <w:t>注：无政府采购预算，空表列示。</w:t>
      </w:r>
    </w:p>
    <w:p>
      <w:pPr>
        <w:ind w:firstLine="640" w:firstLineChars="200"/>
        <w:jc w:val="left"/>
        <w:rPr>
          <w:rFonts w:ascii="Times New Roman" w:hAnsi="宋体"/>
          <w:sz w:val="32"/>
        </w:rPr>
      </w:pPr>
      <w:r>
        <w:rPr>
          <w:rFonts w:ascii="Times New Roman" w:eastAsia="方正仿宋_GBK"/>
          <w:sz w:val="32"/>
        </w:rPr>
        <w:t xml:space="preserve"> </w:t>
      </w:r>
    </w:p>
    <w:p>
      <w:pPr>
        <w:spacing w:before="156" w:beforeLines="50" w:after="156" w:afterLines="50"/>
        <w:ind w:firstLine="640" w:firstLineChars="200"/>
        <w:jc w:val="left"/>
        <w:rPr>
          <w:rFonts w:hint="eastAsia" w:ascii="Times New Roman" w:hAnsi="宋体"/>
          <w:sz w:val="32"/>
        </w:rPr>
      </w:pPr>
      <w:r>
        <w:rPr>
          <w:rFonts w:hint="eastAsia" w:ascii="黑体" w:hAnsi="黑体" w:eastAsia="黑体"/>
          <w:sz w:val="32"/>
        </w:rPr>
        <w:t>七、国有资产信息</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玉田县鸦鸿桥镇中学（含所属单位）上年末固定资产金额为0.00万元（详见下表）。</w:t>
      </w:r>
    </w:p>
    <w:p>
      <w:pPr>
        <w:jc w:val="center"/>
        <w:rPr>
          <w:rFonts w:hint="eastAsia" w:ascii="Times New Roman" w:hAnsi="宋体"/>
          <w:sz w:val="36"/>
        </w:rPr>
      </w:pPr>
      <w:r>
        <w:rPr>
          <w:rFonts w:hint="eastAsia" w:ascii="方正小标宋_GBK" w:eastAsia="方正小标宋_GBK"/>
          <w:sz w:val="36"/>
        </w:rPr>
        <w:t>单位固定资产占用情况表</w:t>
      </w:r>
    </w:p>
    <w:tbl>
      <w:tblPr>
        <w:tblStyle w:val="2"/>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360080</w:t>
            </w:r>
            <w:r>
              <w:rPr>
                <w:rFonts w:hint="eastAsia" w:ascii="方正小标宋_GBK" w:eastAsia="方正小标宋_GBK"/>
                <w:sz w:val="24"/>
              </w:rPr>
              <w:t>玉田县鸦鸿桥镇中学</w:t>
            </w:r>
          </w:p>
        </w:tc>
        <w:tc>
          <w:tcPr>
            <w:tcW w:w="5670"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2021</w:t>
            </w:r>
            <w:r>
              <w:rPr>
                <w:rFonts w:hint="eastAsia" w:ascii="方正小标宋_GBK" w:eastAsia="方正小标宋_GBK"/>
                <w:sz w:val="24"/>
              </w:rPr>
              <w:t>年</w:t>
            </w:r>
            <w:r>
              <w:rPr>
                <w:rFonts w:ascii="方正小标宋_GBK" w:eastAsia="方正小标宋_GBK"/>
                <w:sz w:val="24"/>
              </w:rPr>
              <w:t>2</w:t>
            </w:r>
            <w:r>
              <w:rPr>
                <w:rFonts w:hint="eastAsia" w:ascii="方正小标宋_GBK" w:eastAsia="方正小标宋_GBK"/>
                <w:sz w:val="24"/>
              </w:rPr>
              <w:t>月</w:t>
            </w:r>
            <w:r>
              <w:rPr>
                <w:rFonts w:ascii="方正小标宋_GBK" w:eastAsia="方正小标宋_GBK"/>
                <w:sz w:val="24"/>
              </w:rPr>
              <w:t>26</w:t>
            </w:r>
            <w:r>
              <w:rPr>
                <w:rFonts w:hint="eastAsia" w:ascii="方正小标宋_GBK" w:eastAsia="方正小标宋_GBK"/>
                <w:sz w:val="24"/>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noWrap w:val="0"/>
            <w:vAlign w:val="center"/>
          </w:tcPr>
          <w:p>
            <w:pPr>
              <w:spacing w:line="300" w:lineRule="exact"/>
              <w:jc w:val="left"/>
              <w:rPr>
                <w:rFonts w:ascii="方正书宋_GBK" w:eastAsia="方正书宋_GBK"/>
              </w:rPr>
            </w:pPr>
          </w:p>
        </w:tc>
        <w:tc>
          <w:tcPr>
            <w:tcW w:w="2835" w:type="dxa"/>
            <w:shd w:val="clear" w:color="auto" w:fill="auto"/>
            <w:noWrap w:val="0"/>
            <w:vAlign w:val="center"/>
          </w:tcPr>
          <w:p>
            <w:pPr>
              <w:spacing w:line="300" w:lineRule="exact"/>
              <w:jc w:val="center"/>
              <w:rPr>
                <w:rFonts w:ascii="方正书宋_GBK" w:eastAsia="方正书宋_GBK"/>
              </w:rPr>
            </w:pPr>
          </w:p>
        </w:tc>
        <w:tc>
          <w:tcPr>
            <w:tcW w:w="2835" w:type="dxa"/>
            <w:shd w:val="clear" w:color="auto" w:fill="auto"/>
            <w:noWrap w:val="0"/>
            <w:vAlign w:val="center"/>
          </w:tcPr>
          <w:p>
            <w:pPr>
              <w:spacing w:line="300" w:lineRule="exact"/>
              <w:jc w:val="right"/>
              <w:rPr>
                <w:rFonts w:ascii="方正书宋_GBK" w:eastAsia="方正书宋_GBK"/>
              </w:rPr>
            </w:pPr>
          </w:p>
        </w:tc>
      </w:tr>
    </w:tbl>
    <w:p>
      <w:pPr>
        <w:ind w:firstLine="420" w:firstLineChars="200"/>
        <w:jc w:val="left"/>
        <w:rPr>
          <w:rFonts w:hint="eastAsia" w:ascii="Times New Roman" w:hAnsi="宋体"/>
        </w:rPr>
      </w:pPr>
      <w:r>
        <w:rPr>
          <w:rFonts w:hint="eastAsia" w:ascii="方正书宋_GBK" w:eastAsia="方正书宋_GBK"/>
        </w:rPr>
        <w:t>注：无固定资产占用情况，空表列示。</w:t>
      </w:r>
    </w:p>
    <w:p>
      <w:pPr>
        <w:ind w:firstLine="640" w:firstLineChars="200"/>
        <w:jc w:val="left"/>
        <w:rPr>
          <w:rFonts w:ascii="Times New Roman" w:hAnsi="宋体"/>
          <w:sz w:val="32"/>
        </w:rPr>
      </w:pPr>
      <w:r>
        <w:rPr>
          <w:rFonts w:ascii="Times New Roman" w:eastAsia="方正仿宋_GBK"/>
          <w:sz w:val="32"/>
        </w:rPr>
        <w:t xml:space="preserve"> </w:t>
      </w:r>
    </w:p>
    <w:p>
      <w:pPr>
        <w:spacing w:before="156" w:beforeLines="50" w:after="156" w:afterLines="50"/>
        <w:ind w:firstLine="640" w:firstLineChars="200"/>
        <w:jc w:val="left"/>
        <w:rPr>
          <w:rFonts w:hint="eastAsia" w:ascii="Times New Roman" w:hAnsi="宋体"/>
          <w:sz w:val="32"/>
        </w:rPr>
      </w:pPr>
      <w:r>
        <w:rPr>
          <w:rFonts w:hint="eastAsia" w:ascii="黑体" w:hAnsi="黑体" w:eastAsia="黑体"/>
          <w:sz w:val="32"/>
        </w:rPr>
        <w:t>八、名词解释</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1、</w:t>
      </w:r>
      <w:r>
        <w:rPr>
          <w:rFonts w:hint="eastAsia" w:ascii="Times New Roman" w:eastAsia="方正仿宋_GBK"/>
          <w:b/>
          <w:sz w:val="28"/>
        </w:rPr>
        <w:t>一般公共预算拨款收入：</w:t>
      </w:r>
      <w:r>
        <w:rPr>
          <w:rFonts w:hint="eastAsia" w:ascii="Times New Roman" w:eastAsia="方正仿宋_GBK"/>
          <w:sz w:val="28"/>
        </w:rPr>
        <w:t>指省级财政当年拨付的资金。</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2、</w:t>
      </w:r>
      <w:r>
        <w:rPr>
          <w:rFonts w:hint="eastAsia" w:ascii="Times New Roman" w:eastAsia="方正仿宋_GBK"/>
          <w:b/>
          <w:sz w:val="28"/>
        </w:rPr>
        <w:t>事业收入：</w:t>
      </w:r>
      <w:r>
        <w:rPr>
          <w:rFonts w:hint="eastAsia" w:ascii="Times New Roman" w:eastAsia="方正仿宋_GBK"/>
          <w:sz w:val="28"/>
        </w:rPr>
        <w:t>指事业单位开展专业业务活动及辅助活动所取得的收入。</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3、</w:t>
      </w:r>
      <w:r>
        <w:rPr>
          <w:rFonts w:hint="eastAsia" w:ascii="Times New Roman" w:eastAsia="方正仿宋_GBK"/>
          <w:b/>
          <w:sz w:val="28"/>
        </w:rPr>
        <w:t>其他收入：</w:t>
      </w:r>
      <w:r>
        <w:rPr>
          <w:rFonts w:hint="eastAsia" w:ascii="Times New Roman" w:eastAsia="方正仿宋_GBK"/>
          <w:sz w:val="28"/>
        </w:rPr>
        <w:t>指除</w:t>
      </w:r>
      <w:r>
        <w:rPr>
          <w:rFonts w:hint="cs" w:ascii="Times New Roman" w:eastAsia="方正仿宋_GBK"/>
          <w:sz w:val="28"/>
        </w:rPr>
        <w:t>“</w:t>
      </w:r>
      <w:r>
        <w:rPr>
          <w:rFonts w:hint="eastAsia" w:ascii="Times New Roman" w:eastAsia="方正仿宋_GBK"/>
          <w:sz w:val="28"/>
        </w:rPr>
        <w:t>一般公共预算拨款收入</w:t>
      </w:r>
      <w:r>
        <w:rPr>
          <w:rFonts w:hint="cs" w:ascii="Times New Roman" w:eastAsia="方正仿宋_GBK"/>
          <w:sz w:val="28"/>
        </w:rPr>
        <w:t>”</w:t>
      </w:r>
      <w:r>
        <w:rPr>
          <w:rFonts w:hint="eastAsia" w:ascii="Times New Roman" w:eastAsia="方正仿宋_GBK"/>
          <w:sz w:val="28"/>
        </w:rPr>
        <w:t>、</w:t>
      </w:r>
      <w:r>
        <w:rPr>
          <w:rFonts w:hint="cs" w:ascii="Times New Roman" w:eastAsia="方正仿宋_GBK"/>
          <w:sz w:val="28"/>
        </w:rPr>
        <w:t>“</w:t>
      </w:r>
      <w:r>
        <w:rPr>
          <w:rFonts w:hint="eastAsia" w:ascii="Times New Roman" w:eastAsia="方正仿宋_GBK"/>
          <w:sz w:val="28"/>
        </w:rPr>
        <w:t>事业收入</w:t>
      </w:r>
      <w:r>
        <w:rPr>
          <w:rFonts w:hint="cs" w:ascii="Times New Roman" w:eastAsia="方正仿宋_GBK"/>
          <w:sz w:val="28"/>
        </w:rPr>
        <w:t>”</w:t>
      </w:r>
      <w:r>
        <w:rPr>
          <w:rFonts w:hint="eastAsia" w:ascii="Times New Roman" w:eastAsia="方正仿宋_GBK"/>
          <w:sz w:val="28"/>
        </w:rPr>
        <w:t>等以外的收入。主要是按规定动用的租房收入、存款利息收入等。</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4、</w:t>
      </w:r>
      <w:r>
        <w:rPr>
          <w:rFonts w:hint="eastAsia" w:ascii="Times New Roman" w:eastAsia="方正仿宋_GBK"/>
          <w:b/>
          <w:sz w:val="28"/>
        </w:rPr>
        <w:t>基本支出：</w:t>
      </w:r>
      <w:r>
        <w:rPr>
          <w:rFonts w:hint="eastAsia" w:ascii="Times New Roman" w:eastAsia="方正仿宋_GBK"/>
          <w:sz w:val="28"/>
        </w:rPr>
        <w:t>指为保障机构正常运转、完成日常工作任务而发生的人员支出和公用支出。</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5、</w:t>
      </w:r>
      <w:r>
        <w:rPr>
          <w:rFonts w:hint="eastAsia" w:ascii="Times New Roman" w:eastAsia="方正仿宋_GBK"/>
          <w:b/>
          <w:sz w:val="28"/>
        </w:rPr>
        <w:t>项目支出：</w:t>
      </w:r>
      <w:r>
        <w:rPr>
          <w:rFonts w:hint="eastAsia" w:ascii="Times New Roman" w:eastAsia="方正仿宋_GBK"/>
          <w:sz w:val="28"/>
        </w:rPr>
        <w:t>指在基本支出之外为完成特定行政任务和事业发展目标所发生的支出。</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6、</w:t>
      </w:r>
      <w:r>
        <w:rPr>
          <w:rFonts w:hint="eastAsia" w:ascii="Times New Roman" w:eastAsia="方正仿宋_GBK"/>
          <w:b/>
          <w:sz w:val="28"/>
        </w:rPr>
        <w:t>上缴上级支出：</w:t>
      </w:r>
      <w:r>
        <w:rPr>
          <w:rFonts w:hint="eastAsia" w:ascii="Times New Roman" w:eastAsia="方正仿宋_GBK"/>
          <w:sz w:val="28"/>
        </w:rPr>
        <w:t>指下级单位上缴上级的支出。</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7、</w:t>
      </w:r>
      <w:r>
        <w:rPr>
          <w:rFonts w:hint="cs" w:ascii="Times New Roman" w:eastAsia="方正仿宋_GBK"/>
          <w:b/>
          <w:sz w:val="28"/>
        </w:rPr>
        <w:t>“</w:t>
      </w:r>
      <w:r>
        <w:rPr>
          <w:rFonts w:hint="eastAsia" w:ascii="Times New Roman" w:eastAsia="方正仿宋_GBK"/>
          <w:b/>
          <w:sz w:val="28"/>
        </w:rPr>
        <w:t>三公</w:t>
      </w:r>
      <w:r>
        <w:rPr>
          <w:rFonts w:hint="cs" w:ascii="Times New Roman" w:eastAsia="方正仿宋_GBK"/>
          <w:b/>
          <w:sz w:val="28"/>
        </w:rPr>
        <w:t>”</w:t>
      </w:r>
      <w:r>
        <w:rPr>
          <w:rFonts w:hint="eastAsia" w:ascii="Times New Roman" w:eastAsia="方正仿宋_GBK"/>
          <w:b/>
          <w:sz w:val="28"/>
        </w:rPr>
        <w:t>经费：</w:t>
      </w:r>
      <w:r>
        <w:rPr>
          <w:rFonts w:hint="eastAsia" w:ascii="Times New Roman" w:eastAsia="方正仿宋_GBK"/>
          <w:sz w:val="28"/>
        </w:rPr>
        <w:t>纳入省级财政预算管理的</w:t>
      </w:r>
      <w:r>
        <w:rPr>
          <w:rFonts w:hint="cs" w:ascii="Times New Roman" w:eastAsia="方正仿宋_GBK"/>
          <w:sz w:val="28"/>
        </w:rPr>
        <w:t>“</w:t>
      </w:r>
      <w:r>
        <w:rPr>
          <w:rFonts w:hint="eastAsia" w:ascii="Times New Roman" w:eastAsia="方正仿宋_GBK"/>
          <w:sz w:val="28"/>
        </w:rPr>
        <w:t>三公</w:t>
      </w:r>
      <w:r>
        <w:rPr>
          <w:rFonts w:hint="cs" w:ascii="Times New Roman" w:eastAsia="方正仿宋_GBK"/>
          <w:sz w:val="28"/>
        </w:rPr>
        <w:t>”</w:t>
      </w:r>
      <w:r>
        <w:rPr>
          <w:rFonts w:hint="eastAsia" w:ascii="Times New Roman" w:eastAsia="方正仿宋_GBK"/>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8、</w:t>
      </w:r>
      <w:r>
        <w:rPr>
          <w:rFonts w:hint="eastAsia" w:ascii="Times New Roman" w:eastAsia="方正仿宋_GBK"/>
          <w:b/>
          <w:sz w:val="28"/>
        </w:rPr>
        <w:t>机关运行费：</w:t>
      </w:r>
      <w:r>
        <w:rPr>
          <w:rFonts w:hint="eastAsia" w:ascii="Times New Roman"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9、</w:t>
      </w:r>
      <w:r>
        <w:rPr>
          <w:rFonts w:hint="eastAsia" w:ascii="Times New Roman" w:eastAsia="方正仿宋_GBK"/>
          <w:b/>
          <w:sz w:val="28"/>
        </w:rPr>
        <w:t>上年结转：</w:t>
      </w:r>
      <w:r>
        <w:rPr>
          <w:rFonts w:hint="eastAsia" w:ascii="Times New Roman" w:eastAsia="方正仿宋_GBK"/>
          <w:sz w:val="28"/>
        </w:rPr>
        <w:t>指以前年度尚未完成、结转到本年仍按原规定用途继续使用的资金。</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10、</w:t>
      </w:r>
      <w:r>
        <w:rPr>
          <w:rFonts w:hint="eastAsia" w:ascii="Times New Roman" w:eastAsia="方正仿宋_GBK"/>
          <w:b/>
          <w:sz w:val="28"/>
        </w:rPr>
        <w:t>事业单位经营支出：</w:t>
      </w:r>
      <w:r>
        <w:rPr>
          <w:rFonts w:hint="eastAsia" w:ascii="Times New Roman" w:eastAsia="方正仿宋_GBK"/>
          <w:sz w:val="28"/>
        </w:rPr>
        <w:t>指事业单位在专业业务活动及其辅助活动之外开展非独立核算经营活动发生的支出。</w:t>
      </w:r>
    </w:p>
    <w:p>
      <w:pPr>
        <w:spacing w:before="156" w:beforeLines="50" w:after="156" w:afterLines="50"/>
        <w:ind w:firstLine="640" w:firstLineChars="200"/>
        <w:jc w:val="left"/>
        <w:rPr>
          <w:rFonts w:hint="eastAsia" w:ascii="Times New Roman" w:hAnsi="宋体"/>
          <w:sz w:val="32"/>
        </w:rPr>
      </w:pPr>
      <w:r>
        <w:rPr>
          <w:rFonts w:hint="eastAsia" w:ascii="黑体" w:hAnsi="黑体" w:eastAsia="黑体"/>
          <w:sz w:val="32"/>
        </w:rPr>
        <w:t>九、其他需要说明的事项</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我部单位无其他需要说明的事项。</w:t>
      </w:r>
    </w:p>
    <w:p>
      <w:pPr>
        <w:spacing w:line="500" w:lineRule="exact"/>
        <w:ind w:firstLine="420" w:firstLineChars="200"/>
        <w:jc w:val="left"/>
        <w:sectPr>
          <w:pgSz w:w="16839" w:h="11907" w:orient="landscape"/>
          <w:pgMar w:top="1361" w:right="1020" w:bottom="1361" w:left="1020" w:header="851" w:footer="992" w:gutter="0"/>
          <w:cols w:space="425" w:num="1"/>
          <w:docGrid w:type="lines" w:linePitch="312" w:charSpace="0"/>
        </w:sectPr>
      </w:pPr>
    </w:p>
    <w:p>
      <w:pPr>
        <w:rPr>
          <w:b/>
          <w:bCs/>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 w:name="方正楷体_GBK">
    <w:altName w:val="宋体"/>
    <w:panose1 w:val="00000000000000000000"/>
    <w:charset w:val="86"/>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957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2025-02-06T08:47:22Z</dcterms:created>
  <dc:creator>Administrator.BF-20241124ONWS</dc:creator>
  <cp:lastModifiedBy>Administrator</cp:lastModifiedBy>
  <dcterms:modified xsi:type="dcterms:W3CDTF">2025-02-06T08:47:37Z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1CC702D49E1E4993A26DE2CD2B15DAC0</vt:lpwstr>
  </property>
</Properties>
</file>