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一、中国共产党玉田县委员会政法委员会本级收支预算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18031526.11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18031526.11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18031526.11</w:t>
            </w:r>
          </w:p>
        </w:tc>
        <w:tc>
          <w:tcPr>
            <w:tcW w:w="4535" w:type="dxa"/>
            <w:vAlign w:val="center"/>
          </w:tcPr>
          <w:p>
            <w:pPr>
              <w:pStyle w:val="16"/>
            </w:pPr>
            <w:r>
              <w:t>本年支出合计</w:t>
            </w:r>
          </w:p>
        </w:tc>
        <w:tc>
          <w:tcPr>
            <w:tcW w:w="2126" w:type="dxa"/>
            <w:vAlign w:val="center"/>
          </w:tcPr>
          <w:p>
            <w:pPr>
              <w:pStyle w:val="17"/>
            </w:pPr>
            <w:r>
              <w:t>18031526.11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18031526.11</w:t>
            </w:r>
          </w:p>
        </w:tc>
        <w:tc>
          <w:tcPr>
            <w:tcW w:w="4535" w:type="dxa"/>
            <w:vAlign w:val="center"/>
          </w:tcPr>
          <w:p>
            <w:pPr>
              <w:pStyle w:val="16"/>
            </w:pPr>
            <w:r>
              <w:t>支出总计</w:t>
            </w:r>
          </w:p>
        </w:tc>
        <w:tc>
          <w:tcPr>
            <w:tcW w:w="2126" w:type="dxa"/>
            <w:vAlign w:val="center"/>
          </w:tcPr>
          <w:p>
            <w:pPr>
              <w:pStyle w:val="17"/>
            </w:pPr>
            <w:r>
              <w:t>18031526.11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18031526.11</w:t>
            </w:r>
          </w:p>
        </w:tc>
        <w:tc>
          <w:tcPr>
            <w:tcW w:w="1134" w:type="dxa"/>
            <w:vAlign w:val="center"/>
          </w:tcPr>
          <w:p>
            <w:pPr>
              <w:pStyle w:val="17"/>
            </w:pPr>
            <w:r>
              <w:t>18031526.11</w:t>
            </w:r>
          </w:p>
        </w:tc>
        <w:tc>
          <w:tcPr>
            <w:tcW w:w="1134" w:type="dxa"/>
            <w:vAlign w:val="center"/>
          </w:tcPr>
          <w:p>
            <w:pPr>
              <w:pStyle w:val="17"/>
            </w:pPr>
            <w:r>
              <w:t>18031526.11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2040202</w:t>
            </w:r>
          </w:p>
        </w:tc>
        <w:tc>
          <w:tcPr>
            <w:tcW w:w="1559" w:type="dxa"/>
            <w:vAlign w:val="center"/>
          </w:tcPr>
          <w:p>
            <w:pPr>
              <w:pStyle w:val="14"/>
            </w:pPr>
            <w:r>
              <w:t>一般行政管理事务</w:t>
            </w:r>
          </w:p>
        </w:tc>
        <w:tc>
          <w:tcPr>
            <w:tcW w:w="1134" w:type="dxa"/>
            <w:vAlign w:val="center"/>
          </w:tcPr>
          <w:p>
            <w:pPr>
              <w:pStyle w:val="13"/>
            </w:pPr>
            <w:r>
              <w:t>17647704.11</w:t>
            </w:r>
          </w:p>
        </w:tc>
        <w:tc>
          <w:tcPr>
            <w:tcW w:w="1134" w:type="dxa"/>
            <w:vAlign w:val="center"/>
          </w:tcPr>
          <w:p>
            <w:pPr>
              <w:pStyle w:val="13"/>
            </w:pPr>
            <w:r>
              <w:t>17647704.11</w:t>
            </w:r>
          </w:p>
        </w:tc>
        <w:tc>
          <w:tcPr>
            <w:tcW w:w="1134" w:type="dxa"/>
            <w:vAlign w:val="center"/>
          </w:tcPr>
          <w:p>
            <w:pPr>
              <w:pStyle w:val="13"/>
            </w:pPr>
            <w:r>
              <w:t>17647704.11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383822.00</w:t>
            </w:r>
          </w:p>
        </w:tc>
        <w:tc>
          <w:tcPr>
            <w:tcW w:w="1134" w:type="dxa"/>
            <w:vAlign w:val="center"/>
          </w:tcPr>
          <w:p>
            <w:pPr>
              <w:pStyle w:val="13"/>
            </w:pPr>
            <w:r>
              <w:t>383822.00</w:t>
            </w:r>
          </w:p>
        </w:tc>
        <w:tc>
          <w:tcPr>
            <w:tcW w:w="1134" w:type="dxa"/>
            <w:vAlign w:val="center"/>
          </w:tcPr>
          <w:p>
            <w:pPr>
              <w:pStyle w:val="13"/>
            </w:pPr>
            <w:r>
              <w:t>383822.00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18031526.11</w:t>
            </w:r>
          </w:p>
        </w:tc>
        <w:tc>
          <w:tcPr>
            <w:tcW w:w="1361" w:type="dxa"/>
            <w:vAlign w:val="center"/>
          </w:tcPr>
          <w:p>
            <w:pPr>
              <w:pStyle w:val="17"/>
            </w:pPr>
            <w:r>
              <w:t>383822.00</w:t>
            </w:r>
          </w:p>
        </w:tc>
        <w:tc>
          <w:tcPr>
            <w:tcW w:w="1361" w:type="dxa"/>
            <w:vAlign w:val="center"/>
          </w:tcPr>
          <w:p>
            <w:pPr>
              <w:pStyle w:val="17"/>
            </w:pPr>
            <w:r>
              <w:t>17647704.11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18031526.11</w:t>
            </w:r>
          </w:p>
        </w:tc>
        <w:tc>
          <w:tcPr>
            <w:tcW w:w="1361" w:type="dxa"/>
            <w:vAlign w:val="center"/>
          </w:tcPr>
          <w:p>
            <w:pPr>
              <w:pStyle w:val="13"/>
            </w:pPr>
            <w:r>
              <w:t>383822.00</w:t>
            </w: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18031526.11</w:t>
            </w:r>
          </w:p>
        </w:tc>
        <w:tc>
          <w:tcPr>
            <w:tcW w:w="1361" w:type="dxa"/>
            <w:vAlign w:val="center"/>
          </w:tcPr>
          <w:p>
            <w:pPr>
              <w:pStyle w:val="13"/>
            </w:pPr>
            <w:r>
              <w:t>383822.00</w:t>
            </w: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2040202</w:t>
            </w:r>
          </w:p>
        </w:tc>
        <w:tc>
          <w:tcPr>
            <w:tcW w:w="4535" w:type="dxa"/>
            <w:vAlign w:val="center"/>
          </w:tcPr>
          <w:p>
            <w:pPr>
              <w:pStyle w:val="14"/>
            </w:pPr>
            <w:r>
              <w:t>一般行政管理事务</w:t>
            </w: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383822.00</w:t>
            </w:r>
          </w:p>
        </w:tc>
        <w:tc>
          <w:tcPr>
            <w:tcW w:w="1361" w:type="dxa"/>
            <w:vAlign w:val="center"/>
          </w:tcPr>
          <w:p>
            <w:pPr>
              <w:pStyle w:val="13"/>
            </w:pPr>
            <w:r>
              <w:t>383822.00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18031526.11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18031526.11</w:t>
            </w:r>
          </w:p>
        </w:tc>
        <w:tc>
          <w:tcPr>
            <w:tcW w:w="1474" w:type="dxa"/>
            <w:vAlign w:val="center"/>
          </w:tcPr>
          <w:p>
            <w:pPr>
              <w:pStyle w:val="13"/>
            </w:pPr>
            <w:r>
              <w:t>18031526.11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18031526.11</w:t>
            </w:r>
          </w:p>
        </w:tc>
        <w:tc>
          <w:tcPr>
            <w:tcW w:w="3402" w:type="dxa"/>
            <w:vAlign w:val="center"/>
          </w:tcPr>
          <w:p>
            <w:pPr>
              <w:pStyle w:val="16"/>
            </w:pPr>
            <w:r>
              <w:t>本年支出合计</w:t>
            </w:r>
          </w:p>
        </w:tc>
        <w:tc>
          <w:tcPr>
            <w:tcW w:w="1474" w:type="dxa"/>
            <w:vAlign w:val="center"/>
          </w:tcPr>
          <w:p>
            <w:pPr>
              <w:pStyle w:val="17"/>
            </w:pPr>
            <w:r>
              <w:t>18031526.11</w:t>
            </w:r>
          </w:p>
        </w:tc>
        <w:tc>
          <w:tcPr>
            <w:tcW w:w="1474" w:type="dxa"/>
            <w:vAlign w:val="center"/>
          </w:tcPr>
          <w:p>
            <w:pPr>
              <w:pStyle w:val="17"/>
            </w:pPr>
            <w:r>
              <w:t>18031526.11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18031526.11</w:t>
            </w:r>
          </w:p>
        </w:tc>
        <w:tc>
          <w:tcPr>
            <w:tcW w:w="3402" w:type="dxa"/>
            <w:vAlign w:val="center"/>
          </w:tcPr>
          <w:p>
            <w:pPr>
              <w:pStyle w:val="16"/>
            </w:pPr>
            <w:r>
              <w:t>支出总计</w:t>
            </w:r>
          </w:p>
        </w:tc>
        <w:tc>
          <w:tcPr>
            <w:tcW w:w="1474" w:type="dxa"/>
            <w:vAlign w:val="center"/>
          </w:tcPr>
          <w:p>
            <w:pPr>
              <w:pStyle w:val="17"/>
            </w:pPr>
            <w:r>
              <w:t>18031526.11</w:t>
            </w:r>
          </w:p>
        </w:tc>
        <w:tc>
          <w:tcPr>
            <w:tcW w:w="1474" w:type="dxa"/>
            <w:vAlign w:val="center"/>
          </w:tcPr>
          <w:p>
            <w:pPr>
              <w:pStyle w:val="17"/>
            </w:pPr>
            <w:r>
              <w:t>18031526.11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18031526.11</w:t>
            </w:r>
          </w:p>
        </w:tc>
        <w:tc>
          <w:tcPr>
            <w:tcW w:w="2551" w:type="dxa"/>
            <w:vAlign w:val="center"/>
          </w:tcPr>
          <w:p>
            <w:pPr>
              <w:pStyle w:val="17"/>
            </w:pPr>
            <w:r>
              <w:t>383822.00</w:t>
            </w:r>
          </w:p>
        </w:tc>
        <w:tc>
          <w:tcPr>
            <w:tcW w:w="2551" w:type="dxa"/>
            <w:vAlign w:val="center"/>
          </w:tcPr>
          <w:p>
            <w:pPr>
              <w:pStyle w:val="17"/>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18031526.11</w:t>
            </w:r>
          </w:p>
        </w:tc>
        <w:tc>
          <w:tcPr>
            <w:tcW w:w="2551" w:type="dxa"/>
            <w:vAlign w:val="center"/>
          </w:tcPr>
          <w:p>
            <w:pPr>
              <w:pStyle w:val="13"/>
            </w:pPr>
            <w:r>
              <w:t>383822.00</w:t>
            </w:r>
          </w:p>
        </w:tc>
        <w:tc>
          <w:tcPr>
            <w:tcW w:w="2551" w:type="dxa"/>
            <w:vAlign w:val="center"/>
          </w:tcPr>
          <w:p>
            <w:pPr>
              <w:pStyle w:val="13"/>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18031526.11</w:t>
            </w:r>
          </w:p>
        </w:tc>
        <w:tc>
          <w:tcPr>
            <w:tcW w:w="2551" w:type="dxa"/>
            <w:vAlign w:val="center"/>
          </w:tcPr>
          <w:p>
            <w:pPr>
              <w:pStyle w:val="13"/>
            </w:pPr>
            <w:r>
              <w:t>383822.00</w:t>
            </w:r>
          </w:p>
        </w:tc>
        <w:tc>
          <w:tcPr>
            <w:tcW w:w="2551" w:type="dxa"/>
            <w:vAlign w:val="center"/>
          </w:tcPr>
          <w:p>
            <w:pPr>
              <w:pStyle w:val="13"/>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2040202</w:t>
            </w:r>
          </w:p>
        </w:tc>
        <w:tc>
          <w:tcPr>
            <w:tcW w:w="4535" w:type="dxa"/>
            <w:vAlign w:val="center"/>
          </w:tcPr>
          <w:p>
            <w:pPr>
              <w:pStyle w:val="14"/>
            </w:pPr>
            <w:r>
              <w:t>一般行政管理事务</w:t>
            </w:r>
          </w:p>
        </w:tc>
        <w:tc>
          <w:tcPr>
            <w:tcW w:w="2551" w:type="dxa"/>
            <w:vAlign w:val="center"/>
          </w:tcPr>
          <w:p>
            <w:pPr>
              <w:pStyle w:val="13"/>
            </w:pPr>
            <w:r>
              <w:t>17647704.11</w:t>
            </w:r>
          </w:p>
        </w:tc>
        <w:tc>
          <w:tcPr>
            <w:tcW w:w="2551" w:type="dxa"/>
            <w:vAlign w:val="center"/>
          </w:tcPr>
          <w:p>
            <w:pPr>
              <w:pStyle w:val="13"/>
            </w:pPr>
          </w:p>
        </w:tc>
        <w:tc>
          <w:tcPr>
            <w:tcW w:w="2551" w:type="dxa"/>
            <w:vAlign w:val="center"/>
          </w:tcPr>
          <w:p>
            <w:pPr>
              <w:pStyle w:val="13"/>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383822.00</w:t>
            </w:r>
          </w:p>
        </w:tc>
        <w:tc>
          <w:tcPr>
            <w:tcW w:w="2551" w:type="dxa"/>
            <w:vAlign w:val="center"/>
          </w:tcPr>
          <w:p>
            <w:pPr>
              <w:pStyle w:val="13"/>
            </w:pPr>
            <w:r>
              <w:t>383822.00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383822.00</w:t>
            </w:r>
          </w:p>
        </w:tc>
        <w:tc>
          <w:tcPr>
            <w:tcW w:w="2551" w:type="dxa"/>
            <w:vAlign w:val="center"/>
          </w:tcPr>
          <w:p>
            <w:pPr>
              <w:pStyle w:val="17"/>
            </w:pPr>
          </w:p>
        </w:tc>
        <w:tc>
          <w:tcPr>
            <w:tcW w:w="2551" w:type="dxa"/>
            <w:vAlign w:val="center"/>
          </w:tcPr>
          <w:p>
            <w:pPr>
              <w:pStyle w:val="17"/>
            </w:pPr>
            <w:r>
              <w:t>383822.00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383822.00</w:t>
            </w:r>
          </w:p>
        </w:tc>
        <w:tc>
          <w:tcPr>
            <w:tcW w:w="2551" w:type="dxa"/>
            <w:vAlign w:val="center"/>
          </w:tcPr>
          <w:p>
            <w:pPr>
              <w:pStyle w:val="13"/>
            </w:pPr>
          </w:p>
        </w:tc>
        <w:tc>
          <w:tcPr>
            <w:tcW w:w="2551" w:type="dxa"/>
            <w:vAlign w:val="center"/>
          </w:tcPr>
          <w:p>
            <w:pPr>
              <w:pStyle w:val="13"/>
            </w:pPr>
            <w:r>
              <w:t>383822.00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21700.00</w:t>
            </w:r>
          </w:p>
        </w:tc>
        <w:tc>
          <w:tcPr>
            <w:tcW w:w="2551" w:type="dxa"/>
            <w:vAlign w:val="center"/>
          </w:tcPr>
          <w:p>
            <w:pPr>
              <w:pStyle w:val="13"/>
            </w:pPr>
          </w:p>
        </w:tc>
        <w:tc>
          <w:tcPr>
            <w:tcW w:w="2551" w:type="dxa"/>
            <w:vAlign w:val="center"/>
          </w:tcPr>
          <w:p>
            <w:pPr>
              <w:pStyle w:val="13"/>
            </w:pPr>
            <w:r>
              <w:t>21700.00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32812.00</w:t>
            </w:r>
          </w:p>
        </w:tc>
        <w:tc>
          <w:tcPr>
            <w:tcW w:w="2551" w:type="dxa"/>
            <w:vAlign w:val="center"/>
          </w:tcPr>
          <w:p>
            <w:pPr>
              <w:pStyle w:val="13"/>
            </w:pPr>
          </w:p>
        </w:tc>
        <w:tc>
          <w:tcPr>
            <w:tcW w:w="2551" w:type="dxa"/>
            <w:vAlign w:val="center"/>
          </w:tcPr>
          <w:p>
            <w:pPr>
              <w:pStyle w:val="13"/>
            </w:pPr>
            <w:r>
              <w:t>32812.00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31000.00</w:t>
            </w:r>
          </w:p>
        </w:tc>
        <w:tc>
          <w:tcPr>
            <w:tcW w:w="2551" w:type="dxa"/>
            <w:vAlign w:val="center"/>
          </w:tcPr>
          <w:p>
            <w:pPr>
              <w:pStyle w:val="13"/>
            </w:pPr>
          </w:p>
        </w:tc>
        <w:tc>
          <w:tcPr>
            <w:tcW w:w="2551" w:type="dxa"/>
            <w:vAlign w:val="center"/>
          </w:tcPr>
          <w:p>
            <w:pPr>
              <w:pStyle w:val="13"/>
            </w:pPr>
            <w:r>
              <w:t>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1350.00</w:t>
            </w:r>
          </w:p>
        </w:tc>
        <w:tc>
          <w:tcPr>
            <w:tcW w:w="2551" w:type="dxa"/>
            <w:vAlign w:val="center"/>
          </w:tcPr>
          <w:p>
            <w:pPr>
              <w:pStyle w:val="13"/>
            </w:pPr>
          </w:p>
        </w:tc>
        <w:tc>
          <w:tcPr>
            <w:tcW w:w="2551"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45000.00</w:t>
            </w:r>
          </w:p>
        </w:tc>
        <w:tc>
          <w:tcPr>
            <w:tcW w:w="2551" w:type="dxa"/>
            <w:vAlign w:val="center"/>
          </w:tcPr>
          <w:p>
            <w:pPr>
              <w:pStyle w:val="13"/>
            </w:pPr>
          </w:p>
        </w:tc>
        <w:tc>
          <w:tcPr>
            <w:tcW w:w="2551"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171960.00</w:t>
            </w:r>
          </w:p>
        </w:tc>
        <w:tc>
          <w:tcPr>
            <w:tcW w:w="2551" w:type="dxa"/>
            <w:vAlign w:val="center"/>
          </w:tcPr>
          <w:p>
            <w:pPr>
              <w:pStyle w:val="13"/>
            </w:pPr>
          </w:p>
        </w:tc>
        <w:tc>
          <w:tcPr>
            <w:tcW w:w="2551" w:type="dxa"/>
            <w:vAlign w:val="center"/>
          </w:tcPr>
          <w:p>
            <w:pPr>
              <w:pStyle w:val="13"/>
            </w:pPr>
            <w:r>
              <w:t>171960.00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45000.00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45000.00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60000.00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60000.00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bookmarkStart w:id="19" w:name="_GoBack"/>
      <w:bookmarkEnd w:id="19"/>
      <w:r>
        <w:rPr>
          <w:rFonts w:ascii="方正书宋_GBK" w:hAnsi="方正书宋_GBK" w:eastAsia="方正书宋_GBK" w:cs="方正书宋_GBK"/>
          <w:color w:val="FFFFFF"/>
          <w:sz w:val="21"/>
        </w:rPr>
        <w:t>第一部分  中国共产党玉田县委员会政法委员会2022年部门预算信息公开情况说明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中国共产党玉田县委员会政法委员会2022年部门预算信息公开情况说明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按照《预算法》、《地方预决算公开操作规程》和《关于进一步推进预算公开工作的实施意见》规定，现将中国共产党玉田县委员会政法委员会2022年部门预算公开如下：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县委政法委的主要职责是：</w:t>
      </w:r>
    </w:p>
    <w:p>
      <w:pPr>
        <w:pStyle w:val="19"/>
      </w:pPr>
      <w:r>
        <w:t>（一）深入贯彻习近平新时代中国特色社会主义思想，深入贯彻《中国共产党政法工作条例》，坚持党对政法工作的绝对领导，坚决维护习近平总书记在党中央的核心、全党的核心地位，坚决维护党中央权威和集中统一领导，深入贯彻党的路线方针政策以及中央和省委、市委、县委的决策部署，统一全县政法单位思想和行动，确保全县政法单位坚定正确的政治方向。</w:t>
      </w:r>
    </w:p>
    <w:p>
      <w:pPr>
        <w:pStyle w:val="19"/>
      </w:pPr>
      <w:r>
        <w:t>（二）对全县政法工作研究提出全局性部署，推进平安玉田、法治玉田建设，加强过硬队伍建设，深化智能化建设，坚决维护国家政治安全、确保社会大局稳定、促进社会公平正义、保障人民安居乐业。</w:t>
      </w:r>
    </w:p>
    <w:p>
      <w:pPr>
        <w:pStyle w:val="19"/>
      </w:pPr>
      <w:r>
        <w:t>（三）了解掌握和分析研判政法工作情况动态，分析社会稳定形势，创新完善多部门参与的综治维稳工作机制，协调推动预防、化解影响稳定的社会矛盾和风险，协调应对和处置重大突发事件。</w:t>
      </w:r>
    </w:p>
    <w:p>
      <w:pPr>
        <w:pStyle w:val="19"/>
      </w:pPr>
      <w:r>
        <w:t>（四）加强对政法工作的督查，统筹协调社会治安综合治理、维护社会稳定、反邪教有关法律法规政策的实施工作。</w:t>
      </w:r>
    </w:p>
    <w:p>
      <w:pPr>
        <w:pStyle w:val="19"/>
      </w:pPr>
      <w:r>
        <w:t>（五）组织开展政法领域的调查研究，研究拟订政法工作的重大措施，及时向县委提出建议。</w:t>
      </w:r>
    </w:p>
    <w:p>
      <w:pPr>
        <w:pStyle w:val="19"/>
      </w:pPr>
      <w:r>
        <w:t>（六）掌握分析政法舆情动态，指导协调政法单位媒体网络宣传工作，指导政法单位做好涉及政法工作的重大宣传工作。</w:t>
      </w:r>
    </w:p>
    <w:p>
      <w:pPr>
        <w:pStyle w:val="19"/>
      </w:pPr>
      <w:r>
        <w:t>（七）监督和支持政法单位依法行使职权，指导和协调政法单位密切配合，研究和协调重大、疑难案件，指导政法单位涉法涉诉信访工作，推进严格执法、公正司法。</w:t>
      </w:r>
    </w:p>
    <w:p>
      <w:pPr>
        <w:pStyle w:val="19"/>
      </w:pPr>
      <w:r>
        <w:t>（八）组织研究政法改革中带有方向性、倾向性和普遍性的重大问题，深化政法改革，联系县委全面依法治县委员会办公室。</w:t>
      </w:r>
    </w:p>
    <w:p>
      <w:pPr>
        <w:pStyle w:val="19"/>
      </w:pPr>
      <w:r>
        <w:t>（九）协助党委及其组织部门加强政法单位领导班子和干部队伍建设，指导推动政法系统党的建设和政法队伍建设，协调和指导全县见义勇为工作，代管县法学会。</w:t>
      </w:r>
    </w:p>
    <w:p>
      <w:pPr>
        <w:pStyle w:val="19"/>
      </w:pPr>
      <w:r>
        <w:t>（十）统筹推动全县政法系统信息化工作，指导政法智能化建设。</w:t>
      </w:r>
    </w:p>
    <w:p>
      <w:pPr>
        <w:pStyle w:val="19"/>
      </w:pPr>
      <w:r>
        <w:t>（十一）完成市委政法委员会、县委交办的其他任务。</w:t>
      </w:r>
    </w:p>
    <w:p>
      <w:pPr>
        <w:pStyle w:val="19"/>
      </w:pPr>
      <w:r>
        <w:t>第四条  县委政法委设下列内设机构：</w:t>
      </w:r>
    </w:p>
    <w:p>
      <w:pPr>
        <w:pStyle w:val="19"/>
      </w:pPr>
      <w:r>
        <w:t>（一）办公室。协助领导了解掌握全县政法工作全面情况。督查督办中央和省委、市委、县委关于政法工作决策部署的贯彻落实情况。负责机关文电、会务、机要、档案、财务、后勤、固定资产管理、保密、安全等行政管理工作。负责内外联系与综合协调工作。承担对外交流与合作工作。承担县委政法委值班工作，指导全县政法系统中心（值班室）工作机制建设。负责机关政务公开工作。研究全县政法工作重大政策和关系政法工作全局的重大事项，提出对策建议。调查掌握全县政法工作动态和社会治安、社会稳定、反邪教形势，提出工作意见建议。指导协调全县政法调研工作，组织重大课题研究。承担县委政法委主要负责同志调研和文稿服务工作，承担涉及政法工作综合性文稿事务。</w:t>
      </w:r>
    </w:p>
    <w:p>
      <w:pPr>
        <w:pStyle w:val="19"/>
      </w:pPr>
      <w:r>
        <w:t>（二）维稳安全科。指导协调政法等单位维护政治安全工作。指导协调政法系统加强全县政治安全工作的调查研究，掌握一定时期内政治安全情况动态，提出工作建议和意见。指导政法等单位搜集、研判影响政治安全的情报信息，对重大隐患风险进行监测预警。调查研究全县涉邪教问题，了解掌握邪教和对社会有危害气功组织的情况，分析研判形势，提出建议。协调推动各相关部门做好反邪教工作，统筹部署开展重大专项斗争活动。统筹协调指导社会稳定工作，分析研判社会稳定形势，组织开展社会稳定风险防控、危险管控。统筹协调和督导政法等单位排查、化解影响社会稳定的重大隐患风险。</w:t>
      </w:r>
    </w:p>
    <w:p>
      <w:pPr>
        <w:pStyle w:val="19"/>
      </w:pPr>
      <w:r>
        <w:t>（三）社会综治科。调查分析全县社会治安形势并提出建议。指导落实社会治安综合治理领导责任制，承担社会治安综合治理工作的组织协调、督导检查和综合考评。指导协调各地区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组织、协调、督促检查。指导政法综合指挥工作。协调推进基层社会治安综合治理体系建设，推动开展基层平安创建活动。指导协调推动全县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县见义勇为工作。</w:t>
      </w:r>
    </w:p>
    <w:p>
      <w:pPr>
        <w:pStyle w:val="19"/>
      </w:pPr>
      <w:r>
        <w:t>（四）执法监督科。监督检查全县政法单位执行党的路线方针政策和国家法律法规的情况，调查分析和及时纠正存在的倾向性问题，研究制定相关措施。指导推动全县政法单位建立健全执法监督制度，针对突出问题组织开展专项检查和专项治理。监督和支持政法单位依法履行职责、行使职权，督促依法及时办理有重大影响、群众反映强烈的案件。指导协调中央政法委、省委政法委、市委政法委、县委交办案（事）件和需要县委政法委统筹研究把握原则政策的重大敏感案（事）件的依法处理工作。指导处理涉法涉诉信访工作。研究法治玉田建设中有关重大问题，提出建议。掌握全县政法改革情况，组织研究带有方向性、倾向性和普遍性的重大问题，提出建议。承担玉田县司法体制改革领导小组和社会体制改革专项小组的日常工作。承办联系县委全面依法治县委员会办公室、县法学会有关具体工作。</w:t>
      </w:r>
    </w:p>
    <w:p>
      <w:pPr>
        <w:pStyle w:val="19"/>
      </w:pPr>
      <w:r>
        <w:t>（五）政治工作处。负责全县政法系统的思想政治教育工作，承办综合协调政法系统宣传工作及先进典型培树。负责全县政法系统重大活动的宣传工作。指导全县政法系统政法文化工作。指导全县政法系统组织开展政治轮训和教育培训工作，督促政法单位落实教育培训计划、抓好业务学习岗位练兵。配合县委干部主管部门，研究提出加强全县政法队伍建设的意见措施。指导全县政法系统组织开展政治督察，推动政法队伍纪律作风、廉政建设和警示教育。指导政法系统人才队伍建设，配合有关部门办理全县政法系统功勋荣誉表彰有关工作。负责机关的党群工作、干部人事工作。负责了解政法单位领导班子的能力建设和岗位履职情况，指导和推动党的有关干部政策规定的贯彻落实。按照干部管理权限，参与政法系统相关领导干部的考察、考核，承办政法系统股级干部任免等干部工作。负责机关离退休干部服务管理工作。</w:t>
      </w:r>
    </w:p>
    <w:p>
      <w:pPr>
        <w:pStyle w:val="19"/>
      </w:pPr>
      <w:r>
        <w:t>（六）信息舆情科。统筹全县政法系统信息化工作，制定发展战略、总体规划、阶段目标。组织全县政法系统信息化基础性、公共性设施项目规划、建设。指导政法智能化建设，协调政法网与其他电子政务系统融合发展。指导全县政法网信息安全保障体系建设，协调信息安全应急处置工作。负责县委政法委机关信息化项目建设和运维工作。组织协调政法舆情的监控分析，研究全县影响国家安全和社会稳定的舆论情况和信息，提出对策建议。指导全县政法机关开展“三同步”工作，加强政法新媒体规范管理和网评队伍建设，综合协调政法舆情应对处置工作。协助县委主管部门做好全县政法领域重大案（事）件的舆论引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中国共产党玉田县委员会政法委员会本级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按照预算管理有关规定，目前我省部门预算的编制实行综合预算管理，即全部收入和支出都反映在预算中。中国共产党玉田县委员会政法委员会机关及所属事业单位的收支包含在部门预算中。</w:t>
      </w:r>
    </w:p>
    <w:p>
      <w:pPr>
        <w:pStyle w:val="20"/>
      </w:pPr>
      <w:r>
        <w:t>中共玉田县委政法委员会关于2022年度财政资金的预算说明</w:t>
      </w:r>
    </w:p>
    <w:p>
      <w:pPr>
        <w:pStyle w:val="20"/>
      </w:pPr>
    </w:p>
    <w:p>
      <w:pPr>
        <w:pStyle w:val="20"/>
      </w:pPr>
      <w:r>
        <w:t>一、单位基本情况</w:t>
      </w:r>
    </w:p>
    <w:p>
      <w:pPr>
        <w:pStyle w:val="20"/>
      </w:pPr>
      <w:r>
        <w:t>我单位编制人数31人，其中：行政21人，事业编制10人。截止2021年11月初共有在职职工31（其中行政21人，事业7人,借调3人）。单位车辆编制1辆，现有车辆1辆。</w:t>
      </w:r>
    </w:p>
    <w:p>
      <w:pPr>
        <w:pStyle w:val="20"/>
      </w:pPr>
      <w:r>
        <w:t>二、支出安排情况</w:t>
      </w:r>
    </w:p>
    <w:p>
      <w:pPr>
        <w:pStyle w:val="20"/>
      </w:pPr>
      <w:r>
        <w:t>2020年单位预算全部支出1803</w:t>
      </w:r>
      <w:r>
        <w:rPr>
          <w:rFonts w:hint="eastAsia"/>
          <w:lang w:val="en-US" w:eastAsia="zh-CN"/>
        </w:rPr>
        <w:t>.</w:t>
      </w:r>
      <w:r>
        <w:t>152611万元。</w:t>
      </w:r>
    </w:p>
    <w:p>
      <w:pPr>
        <w:pStyle w:val="20"/>
      </w:pPr>
      <w:r>
        <w:t>一是公用经费支出38.3822万元。含办公费21700元，办公电话8部10400元（另含财政集中支付业务专网服务费2400元），住宅电话2412元（崔凤明，县委常委、政法委书记，副处，享受月57元补助；王志强，县委政法委常务副书记，正科，享受月48元补助；杨立臣，县委政法委副书记、正科，享受月48元补助；王玉昆，县委政法委副书记、正科，享受月48元补助）；移动电话20000元（副处1名5000元，正科级单位3000元，特岗部门12000元），公务用车运行维护费45000元，用于单位一辆轿车的燃油、汽修、保险和保养等；差旅费31000元,培训费1350元,公务交通补贴171960元,印刷费20000元(用于印制红字头和上级要求的宣传单），公务接待费60000元。</w:t>
      </w:r>
    </w:p>
    <w:p>
      <w:pPr>
        <w:pStyle w:val="20"/>
      </w:pPr>
      <w:r>
        <w:t>二是专项项目15个，项目经费共</w:t>
      </w:r>
      <w:r>
        <w:rPr>
          <w:rFonts w:hint="eastAsia"/>
          <w:lang w:val="en-US" w:eastAsia="zh-CN"/>
        </w:rPr>
        <w:t>1764.770411</w:t>
      </w:r>
      <w:r>
        <w:t>万元。</w:t>
      </w:r>
    </w:p>
    <w:p>
      <w:pPr>
        <w:pStyle w:val="20"/>
      </w:pPr>
      <w:r>
        <w:t>(一)社会治安综合治理专项事业费35万元：主要用于综治基础设施建设、基层创安、法制宣传、表彰奖励、典型示范等项综治建设,并用于玉田县矛盾纠纷以案定补，每调解一起案件奖励调解员100元。</w:t>
      </w:r>
    </w:p>
    <w:p>
      <w:pPr>
        <w:pStyle w:val="20"/>
      </w:pPr>
      <w:r>
        <w:t>(二)涉法涉诉信访救助基金</w:t>
      </w:r>
      <w:r>
        <w:rPr>
          <w:rFonts w:hint="eastAsia"/>
          <w:lang w:val="en-US" w:eastAsia="zh-CN"/>
        </w:rPr>
        <w:t>100</w:t>
      </w:r>
      <w:r>
        <w:t>万元：为及时有效的化解各类涉法信访问题，保证信访救助政策的延续性，彻底息诉一批信访积案。</w:t>
      </w:r>
    </w:p>
    <w:p>
      <w:pPr>
        <w:pStyle w:val="20"/>
      </w:pPr>
      <w:r>
        <w:t>(三)联合接访中心经费2万元，按上级要求，我委于2010年3月成立涉法涉诉联合接访中心，每年需支出费用含办公费10000元，接访差旅费10000元。</w:t>
      </w:r>
    </w:p>
    <w:p>
      <w:pPr>
        <w:pStyle w:val="20"/>
      </w:pPr>
      <w:r>
        <w:t>(四)社会邪教防范处理工作经费3万元，政法委负责全县法轮功及邪教防范工作,经费应列入本级财政预算。每年需支出费用含办公费20000元，反邪教宣传印刷费10000元。</w:t>
      </w:r>
    </w:p>
    <w:p>
      <w:pPr>
        <w:pStyle w:val="20"/>
      </w:pPr>
      <w:r>
        <w:t>(五)稳定工作经费3万元：主要用于重点时期对特殊群体稳控、赴省进京接访费用。</w:t>
      </w:r>
    </w:p>
    <w:p>
      <w:pPr>
        <w:pStyle w:val="20"/>
      </w:pPr>
      <w:r>
        <w:t>(六)扫黑除恶专项斗争工作经费10万元，用于县扫黑办宣传及办公经费。对涉黑案件实行分组督办制度，对群众关注度高、社会影响恶劣的黑恶势力犯罪案件，依法采取措施.</w:t>
      </w:r>
    </w:p>
    <w:p>
      <w:pPr>
        <w:pStyle w:val="20"/>
      </w:pPr>
      <w:r>
        <w:t>(七)铁路护路工作经费20.3072万元，主要用于对铁路沿线周边的护坡、桥涵的日常维修护理及各重点时期（特别是暑期）安全保卫工作，人员经费，护路办现有护路队员7人，人员工资、保险(医疗、养老、失业、工伤、等)约需资金3358元*12月*7人=282072元。</w:t>
      </w:r>
    </w:p>
    <w:p>
      <w:pPr>
        <w:pStyle w:val="20"/>
      </w:pPr>
      <w:r>
        <w:t xml:space="preserve">(八)治安保险承保资金150万元：据统计，我县农户约15万户，城镇户6万户，共21万户（70.3万人口），经与保险公司协商，按每户10元标准投保15万农户治安保险（需保费150万元），保险公司即可承保全县21万户每户10元的保险标的。2020年计划缴纳治安保险费150万元。 </w:t>
      </w:r>
    </w:p>
    <w:p>
      <w:pPr>
        <w:pStyle w:val="20"/>
      </w:pPr>
      <w:r>
        <w:t>(九)严重精神障碍患者监护人以奖代补和责任险44.908万元:(1)按照唐综治办[2016]6号文件要求,对我县符合条件的纳入公安系统的80名严重精神障碍患者监护人发放以奖代补资金,按2400元/年/人,计19.2万元;(2)按照省市要求对我县登记在册的3117名严重精神疾病患者监护人全部落实监护人责任险。其中，386名三级以上的具有暴力倾向的重症精神障碍患者按100元/人标准承保，其余2731名其他精神疾病患者按80元/人标准承保，计25.708万元。</w:t>
      </w:r>
    </w:p>
    <w:p>
      <w:pPr>
        <w:pStyle w:val="20"/>
      </w:pPr>
      <w:r>
        <w:t>(十)政法网光纤传输租赁费22.8万元：我县政法网节点95个，每年每节点需支付玉田县广电公司2400元，共计228000元。</w:t>
      </w:r>
    </w:p>
    <w:p>
      <w:pPr>
        <w:pStyle w:val="20"/>
      </w:pPr>
      <w:r>
        <w:t>(十一) 政法三、四级网升级扩容改造项目经费60.211111万元：全市政法网升级扩容改造项目在2019年9月30日前基本结束，按合同约定，设备安装终验合格后30日内支付项目合同总数额的40%，第二年付40%，第三年付15%,第四年付5%。市政法委要求各县在将分担费用上缴至全市统一账号，按合同约定，市政法委要求各县将2022年需支付部分万元纳入年度预算。</w:t>
      </w:r>
    </w:p>
    <w:p>
      <w:pPr>
        <w:pStyle w:val="20"/>
      </w:pPr>
      <w:r>
        <w:t>(十二)是综治信息化系统建设经费41.5824万元:</w:t>
      </w:r>
    </w:p>
    <w:p>
      <w:pPr>
        <w:pStyle w:val="20"/>
      </w:pPr>
      <w:r>
        <w:t>(1)综治信息系统（9+X信息系统）建设经费12.5664万元： (1)目前我县已接入综治系统手机终端217部，每个终端手机每月通讯费41元（含10元综治APP定向流量）,计全年需10.6764万元;（2）目前我县PC端账号有35个,每月每个账号需向运营商支付综治信息化系统使用费45元,计全年需1.89万元。</w:t>
      </w:r>
    </w:p>
    <w:p>
      <w:pPr>
        <w:pStyle w:val="20"/>
      </w:pPr>
      <w:r>
        <w:t>(2) 网格化管理手机客户端软件服务费29.016万元。市委办公室、市政府办公室《关于加强全市网格化管理和网格员队伍建设的指导意见》中“专（兼）职网格员手持信息采集终端或手机APP要实现全覆盖”要求，拟为我县网格员配备“9+X”综治信息系统手机APP，申请资金如下：一、采购数量。目前，全县共有750个行政村，155个居民小区。根据网格划分办法，拟将每个行政村和居民小区划分为一个网格单元，初步共划分905个网格单元。2017年为推进综治规范化建设，我委按照市委要求配备了手机采集终端217部。下一步，我委准备分两期为网格员配齐综治信息采集终端，第一期为全县750个村和87个有物业管理的小区配备620个“9+X”综治信息系统手机APP。二、申请资金。为节省财政开支，经我委研究，为620个网格员每人配备1个手机卡号，并支付手机APP日常运营所产生服务费。经测算，每个手机APP每月服务费用为39元， 620个网格一年费用共计290160元。</w:t>
      </w:r>
    </w:p>
    <w:p>
      <w:pPr>
        <w:pStyle w:val="20"/>
      </w:pPr>
      <w:r>
        <w:t>(十三)“雪亮工程”建设政府购买服务项目1196.02万元:经县委书记及县政府有关领导批示，同意建设。经县财政局委托第三方对设备及施工费用概算进行了公开招标采购，最终审定价6456.1元，分六年期付款每年1076.0167万元。另包括工程监理费120万元（单独招标）。特申请， “雪亮工程”财政预算资金1196.02万元。</w:t>
      </w:r>
    </w:p>
    <w:p>
      <w:pPr>
        <w:pStyle w:val="20"/>
      </w:pPr>
      <w:r>
        <w:t>(十四) 见义勇为基金10万元。</w:t>
      </w:r>
    </w:p>
    <w:p>
      <w:pPr>
        <w:pStyle w:val="20"/>
      </w:pPr>
      <w:r>
        <w:t>(十五) 暑期警卫保障经费10万元。</w:t>
      </w:r>
    </w:p>
    <w:p>
      <w:pPr>
        <w:pStyle w:val="20"/>
      </w:pPr>
      <w:r>
        <w:t>按照省暑期工作领导小组关于确保暑期通道执勤规范要求，拟为全体参与执行警卫任务人员统一配备服装，预计支出服装费6万元；拟为沿线乡镇排水费和剪枝费4万元。</w:t>
      </w:r>
    </w:p>
    <w:p>
      <w:pPr>
        <w:pStyle w:val="20"/>
      </w:pPr>
      <w:r>
        <w:t>（十六）疫情期间重点部位视频监控联网资金32.4625万元。</w:t>
      </w:r>
    </w:p>
    <w:p>
      <w:pPr>
        <w:pStyle w:val="20"/>
      </w:pPr>
      <w:r>
        <w:t>由于目前我县疫情防控的严峻形势，按县防控办要求，新冠肺炎疫情防控隔离点新增了3个隔离场所（易居宾馆、暖泉河宾馆、仁和宾馆）。根据市防控指示，需要在新增的疫情隔离点建设高清视频监控系统，联入我县雪亮工程视频图像信息共享平台，供市县两级疫情防控指挥部随时调用。经县委政法委、县公安局、县卫健局3家共同对3个酒店实地测算，易居宾馆需安装31个监控点位，暖泉河宾馆需安装32个监控点位，仁和宾馆实地测算，需安装43个监控点位。,3个新增疫情防控隔离点所用设备、辅材和安装费用共需资金324625元，资金由政法委统一拨付。</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公用经费支出38.3822万元。含办公费21700元，办公电话8部10400元（另含财政集中支付业务专网服务费2400元），住宅电话2412元（崔凤明，县委常委、政法委书记，副处，享受月57元补助；王志强，县委政法委常务副书记，正科，享受月48元补助；杨立臣，县委政法委副书记、正科，享受月48元补助；王玉昆，县委政法委副书记、正科，享受月48元补助）；移动电话20000元（副处1名5000元，正科级单位3000元，特岗部门12000元），公务用车运行维护费45000元，用于单位一辆轿车的燃油、汽修、保险和保养等；差旅费31000元,培训费1350元,公务交通补贴171960元,印刷费20000元(用于印制红字头和上级要求的宣传单），公务接待费60000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eastAsia="方正仿宋_GBK"/>
          <w:lang w:eastAsia="zh-CN"/>
        </w:rPr>
      </w:pPr>
      <w:r>
        <w:t>三公经费支出等于上年支出，包括公务用车运行维护费45000元，公务接待费60000元。</w:t>
      </w:r>
      <w:r>
        <w:rPr>
          <w:rFonts w:hint="eastAsia"/>
          <w:lang w:eastAsia="zh-CN"/>
        </w:rPr>
        <w:t>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一、年度发展规划目标</w:t>
      </w:r>
    </w:p>
    <w:p>
      <w:pPr>
        <w:pStyle w:val="23"/>
      </w:pPr>
      <w:r>
        <w:t>总体目标：</w:t>
      </w:r>
    </w:p>
    <w:p>
      <w:pPr>
        <w:pStyle w:val="23"/>
      </w:pPr>
      <w:r>
        <w:t>（一）全面深化平安创建，确保人民安居乐业。一要坚决维护国家安全和政治稳定。大力加强和改进情报信息工作，努力做到提前预知、提早预警、及时防范。明确斗争指向，严密防控和打击各种敌对势力、敌对分子的捣乱破坏、暴力恐怖袭击活动，及时发现、坚决制止敌对势力打着“维权”旗号插手人民内部矛盾，精确打击和有效防控“法轮功”、“全能神”等邪教组织违法犯罪活动。二要努力从源头预防和化解矛盾。继续推进社会稳定指数评价工作，全面落实重大项目社会稳定评估办法。认真开展矛盾纠纷排查调处活动，按照日排查、周调度、月分析的要求，坚持抓早抓小抓苗头，主动排查，超前防范，做到未动预知，异动先知。详查流动人口、外出打工人员和社会闲散人群等不确定对象的情况，防止“盲区”和“死角”。切实加强涉法涉诉信访工作，耐心细致地做好初信初访化解处置工作。继续抓好涉法涉诉信访积案化解攻坚活动，不息诉案件全部做到“三不欠、四到位”，省市督办案件全部按期办结。对长年上访的信访老户，要坚持解决问题和人员稳控两手抓。进一步完善“三位一体”调解体系，加强专业性调解组织建设。准确把握新形势下重大突发事件的规律和特点，制定完善应急预案，确保一旦发生重大突发事件、群体性事件，能够快速反应，在第一时间做好处置工作，防止事态扩大和蔓延。三要依法打击和惩治违法犯罪。大力实施情报信息主导警务战略，努力提升公安工作打击犯罪的核心战斗力。严厉打击整治各类违法犯罪活动。加强突出治安问题整治，加快构建社会化、网络化和信息化治安防控体系。积极开展群防群治和预警防范宣传活动，着力提升社会平安防范工作整体水平。四要努力提高社会管理科学化水平。深入推进网格化服务管理，加强综治视联网建设、信息系统建设，全县80%行政村全面实现“四个覆盖”。创新方法，丰富手段，将流动人口、特殊人群、两新组织、虚拟社会等领域的社会管理的重点难点问题逐步解决到位。紧紧围绕平安建设和社会管理，加强调查研究，在重点领域积极探索，实现突破，提升社会管理科学化水平。继续推行全县治安保险参保工作，推动严重精神障碍患者以奖代补和监护人责任险工作。为社会管理工作提供新模式。五要进一步完善城乡基层基础建设。要牢固树立固本强基的思想，坚持不懈地抓好基层综治办、法庭、派出所、司法所和检察室建设，搞好与乡镇（街道）综治维稳中心、群众工作站的衔接配合，切实形成工作合力。</w:t>
      </w:r>
    </w:p>
    <w:p>
      <w:pPr>
        <w:pStyle w:val="23"/>
      </w:pPr>
      <w:r>
        <w:t>（二）牢固树立法治理念，维护社会公平正义。一要规范司法行为，进一步提高执法办案水平。进一步完善执法办案程序规则、质量标准、制约办法等相关业务工作制度；努力实现执法程序流程化、执法裁量标准化、执法行为规范化。二要防堵工作漏洞，进一步完善执法监督机制。在加强党内执法监督上，全面落实“五细则一办法”，充分利用执法检查、案件评查等监督措施，加大责任倒查力度，特别是要将党委政法委执法监督职能与干部管理职能结合起来，切实发挥其督促作用。在加强社会监督上，大力推行阳光司法，逐步扩大警务公开、检务公开、审务公开的内容和范围，提高执法工作的透明度。要完善新闻发布制度，对群众关注的热点案件和重大工作措施及时公布，保障人民群众的知情权和监督权。</w:t>
      </w:r>
    </w:p>
    <w:p>
      <w:pPr>
        <w:pStyle w:val="23"/>
      </w:pPr>
      <w:r>
        <w:t>（三）加强政法队伍建设，全面提升整体素质。坚定理想信念，把学习宣传贯彻党的十八届六中全会精神作为贯穿全年的首要政治任务，制定全员培训计划，开展普学普训，确保覆盖到每一个科所庭队，每一名政法干警。建强信息化平台，推进网上办公办案，推动信息化从普及应用向深度建设、深度应用拓展。加强领导班子建设，深入实施领导干部思想政治素质提升工程，加强党性教育，推进政德建设，夯实思想基础，不断提高政法领导班子把握大局、率先垂范的能力，为全面提升政法工作水平提供保障。加强优秀干部的选拔培养，配齐配强各级领导班子，让过硬班子带出一流队伍，干出一流业绩。</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pStyle w:val="24"/>
      </w:pPr>
      <w:r>
        <w:t>中共玉田县委政法委员会</w:t>
      </w:r>
    </w:p>
    <w:p>
      <w:pPr>
        <w:pStyle w:val="24"/>
      </w:pPr>
      <w:r>
        <w:t>分项绩效目标</w:t>
      </w:r>
    </w:p>
    <w:p>
      <w:pPr>
        <w:pStyle w:val="24"/>
      </w:pPr>
    </w:p>
    <w:p>
      <w:pPr>
        <w:pStyle w:val="24"/>
      </w:pPr>
      <w:r>
        <w:t>2022年我单位项目共16个，总资金17</w:t>
      </w:r>
      <w:r>
        <w:rPr>
          <w:rFonts w:hint="eastAsia"/>
          <w:lang w:val="en-US" w:eastAsia="zh-CN"/>
        </w:rPr>
        <w:t>64.770411</w:t>
      </w:r>
      <w:r>
        <w:t xml:space="preserve"> 万元。</w:t>
      </w:r>
    </w:p>
    <w:p>
      <w:pPr>
        <w:pStyle w:val="24"/>
      </w:pPr>
      <w:r>
        <w:t>一是落实社会治安综合治理专项事业费35万元：主要用于综治基础设施建设、基层创安、法制宣传、表彰奖励、典型示范等项综治建设。资金累计3月底、6月底、10月底、12月底分别达到20%、50%、80%、100%。项目共设产出指标、效果指标、满意度指标三个一级指标，下设9个二、三级指标。具体为：1、效果指标－社会效益指标－社会稳定水平，指标值为&gt;＝90%。2、满意度指标－服务对象满意度－接受以案定补调解所提供服务的满意程度，指标值为&gt;＝90%。3、产出指标-符合条件申报对象覆盖率-享受奖励政策人数占符合条件申报对象总数的比例，指标值为&gt;＝90%。以上指标依据冀发[2002]4号相关文件规定。</w:t>
      </w:r>
    </w:p>
    <w:p>
      <w:pPr>
        <w:pStyle w:val="24"/>
      </w:pPr>
      <w:r>
        <w:t>　　二是涉法涉诉信访救助基金100万元：为及时有效的化解各类涉法信访问题，保证信访救助政策的延续性，彻底息诉一批信访积案。资金累计3月底、6月底、10月底、12月底分别达到20%、50%、80%、100%。项目共设产出指标、效果指标、满意度指标三个一级指标，下设9个二、三级指标。具体为：1、效果指标－社会效益指标－通过实施救助政策促进社会稳定水平逐步提高，指标值为&gt;＝90%。2、满意度指标－服务对象满意度－满意和较为满意的救助对象数量占调查总数的比率，指标值为&gt;＝90%。3、产出指标-符合条件申报对象覆盖率-司法救助已结案件与全部立案的司法救助案件的比例，指标值为&gt;＝90%。以上指标依据上级相关文件规定。</w:t>
      </w:r>
    </w:p>
    <w:p>
      <w:pPr>
        <w:pStyle w:val="24"/>
      </w:pPr>
      <w:r>
        <w:t>三是联合接访中心经费2万元，按上级要求，我委于2010年3月成立涉法涉诉联合接访中心，现有工作人员10名，接访差旅费20000元。资金累计3月底、6月底、10月底、12月底分别达到20%、50%、80%、100%。项目共设产出指标、效果指标、满意度指标三个一级指标，下设9个二、三级指标。具体为：1、效果指标－社会效益指标－社会稳定水平，指标值为&gt;＝90%。2、满意度指标－服务对象满意度－接受信访服务的重点人群对信访服务的满意程度，指标值为&gt;＝90%。3、产出指标-化解矛盾率-当年任务完成情况，指标值为&gt;＝90%。以上指标依据上级相关文件规定。</w:t>
      </w:r>
    </w:p>
    <w:p>
      <w:pPr>
        <w:pStyle w:val="24"/>
      </w:pPr>
      <w:r>
        <w:t>四是社会邪教防范处理工作经费3万元，从2012年8月开始，县委常委会决定，将防范办人员机构办公全部划归政法委，负责全县法轮功及邪教防范工作,经费应列入本级财政预算。资金累计3月底、6月底、10月底、12月底分别达到20%、50%、80%、100%。项目共设产出指标、效果指标、满意度指标三个一级指标，下设9个二、三级指标。具体为：1、效果指标－社会效益指标－通过实施转化政策促进社会稳定水平逐步提高，指标值为&gt;＝90%。2、满意度指标－服务对象满意度－接受教育的重点人群对教育的满意程度，指标值为&gt;＝90%。3、产出指标-转化率-转化人员占总人数的比例，指标值为&gt;＝90%。以上指标依据上级相关文件规定。</w:t>
      </w:r>
    </w:p>
    <w:p>
      <w:pPr>
        <w:pStyle w:val="24"/>
      </w:pPr>
      <w:r>
        <w:t>五是稳定工作经费3万元：主要用于重点时期对特殊群体稳控、赴省进京接访费用。资金累计3月底、6月底、10月底、12月底分别达到20%、50%、80%、100%。项目共设产出指标、效果指标、满意度指标三个一级指标，下设9个二、三级指标。具体为：1、效果指标－社会效益指标－社会稳定水平，指标值为&gt;＝90%。2、满意度指标－服务对象满意度－群众对当年接访的整体满意度，指标值为&gt;＝90%。3、产出指标-调解率-当年接访任务完成情况，指标值为&gt;＝90%。以上指标依据上级相关文件规定。</w:t>
      </w:r>
    </w:p>
    <w:p>
      <w:pPr>
        <w:pStyle w:val="24"/>
      </w:pPr>
      <w:r>
        <w:t>六是扫黑除恶专项斗争工作经费10万元，用于县扫黑办宣传及办公经费。资金累计3月底、6月底、10月底、12月底分别达到20%、50%、80%、100%。项目共设产出指标、效果指标、满意度指标三个一级指标，下设9个二、三级指标。具体为：1、效果指标－社会效益指标－通过扫黑除恶政策促进社会稳定水平逐步提高，指标值为&gt;＝90%。2、满意度指标－服务对象满意度－群众对当年扫黑除恶的整体满意度，指标值为&gt;＝90%。3、产出指标-宣传活动次数-扫黑除恶宣传活动次数，指标值为&gt;＝10次。以上指标依据上级相关文件规定。</w:t>
      </w:r>
    </w:p>
    <w:p>
      <w:pPr>
        <w:pStyle w:val="24"/>
      </w:pPr>
      <w:r>
        <w:t>七是铁路护路工作经费20.3072万元，主要用于对铁路沿线周边的护坡、桥涵的日常维修护理及各重点时期（特别是暑期）安全保卫工作，?人员经费，护路办现有护路队员7人，人员工资、保险(医疗、养老、失业、工伤、等)约需资金3358元*12月*7人=280000元；?项目共设产出指标、效果指标、满意度指标三个一级指标，下设9个二、三级指标。具体为：1、效果指标－社会效益指标－铁路沿线治安秩序稳定-涉路矛盾纠纷化解率，指标值为&gt;＝90%。2、满意度指标－服务对象满意度－上级专项护路任务完成率，指标值为&gt;＝90%。3、产出指标-铁路沿线治安隐患排查整治数-年内排查整治治安隐患次数，指标值为&gt;＝10次。以上指标依据上级相关文件规定。</w:t>
      </w:r>
    </w:p>
    <w:p>
      <w:pPr>
        <w:pStyle w:val="24"/>
      </w:pPr>
      <w:r>
        <w:t>八是治安保险承保资金150万元：据统计，我县农户约15万户，城镇户6万户，共21万户（70.3万人口），经与保险公司协商，按每户10元标准投保15万农户治安保险（需保费150万元），保险公司即可承保全县21万户每户10元的保险标的。2020年计划缴纳治安保险费150万元。项目共设产出指标、效果指标、满意度指标三个一级指标，下设9个二、三级指标。具体为：1、效果指标－社会效益指标－事故赔付率，指标值为&gt;＝90%。2、满意度指标－服务对象满意度－接受保险服务的人群对所提供服务的满意程度，指标值为&gt;＝90%。3、产出指标-治安保险的投保率-治安保险在全县的投保比率，指标值为&gt;＝90%。以上指标依据上级相关文件规定。</w:t>
      </w:r>
    </w:p>
    <w:p>
      <w:pPr>
        <w:pStyle w:val="24"/>
      </w:pPr>
      <w:r>
        <w:t>九是严重精神障碍患者监护人以奖代补和责任险    44.908万元:(1)按照唐综治办[2016]6号文件要求,对我县符合条件的纳入公安系统的80名严重精神障碍患者监护人发放以奖代补资金,按2400元/年/人,计19.2万元;(2)按照省市要求对我县登记在册的3117名严重精神疾病患者监护人全部落实监护人责任险。其中，386名三级以上的具有暴力倾向的重症精神障碍患者按100元/人标准承保，其余2731名其他精神疾病患者按80元/人标准承保，计25.708万元。项目共设产出指标、效果指标、满意度指标三个一级指标，下设9个二、三级指标。具体为：1、效果指标－社会效益指标－严重精神障碍患者监护人全部参加责任险参保率，指标值为&gt;＝90%。2、满意度指标－服务对象满意度－群众对当年以奖代补资金发放的整体满意度，指标值为&gt;＝90%。3、产出指标-重症精神病人纳入管理-严重精神障碍患者监护人责任险参保率，指标值为&gt;＝90%。以上指标依据上级相关文件规定。</w:t>
      </w:r>
    </w:p>
    <w:p>
      <w:pPr>
        <w:pStyle w:val="24"/>
      </w:pPr>
      <w:r>
        <w:t>十是政法网光纤传输租赁费22.8万元：我县政法网节点由去年的81个增加为95个，每年每节点需支付玉田县广电公司2400元，共计228000元。项目共设产出指标、效果指标、满意度指标三个一级指标，下设9个二、三级指标。具体为：1、效果指标－社会效益指标－数据共享率，指标值为&gt;＝90%。2、满意度指标－服务对象满意度－整合各类资源，实现各部门共享，指标值为&gt;＝90%。3、产出指标-业务处理及时性-及时处理业务数占总处理数的比率，指标值为&gt;＝90%。以上指标依据上级相关文件规定。</w:t>
      </w:r>
    </w:p>
    <w:p>
      <w:pPr>
        <w:pStyle w:val="24"/>
      </w:pPr>
      <w:r>
        <w:t>十一是政法三、四级网升级扩容改造项目经费60.2111万元：项目共设产出指标、效果指标、满意度指标三个一级指标，下设9个二、三级指标。具体为：1、效果指标－指挥调度－指挥处理应急事件，指标值为&gt;＝90%。2、满意度指标－服务对象满意度－调查中用户反馈满意和较满意的数量占调查用户总数量的比率，指标值为&gt;＝90%。3、产出指标-综合控制系统-调取显示图像资源，指标值为100%全部接入。以上指标依据上级相关文件规定。</w:t>
      </w:r>
    </w:p>
    <w:p>
      <w:pPr>
        <w:pStyle w:val="24"/>
      </w:pPr>
      <w:r>
        <w:t>十二是综治信息化系统建设经费41.0616万元:</w:t>
      </w:r>
    </w:p>
    <w:p>
      <w:pPr>
        <w:pStyle w:val="24"/>
      </w:pPr>
      <w:r>
        <w:t>综治信息系统（9+X信息系统）建设经费12.5664万元： (1)目前我县已接入综治系统手机终端217部，每个终端手机每月通讯费41元（含10元综治APP定向流量）,计全年需10.6764万元;（2）目前我县PC端账号有35个,每月每个账号需向运营商支付综治信息化系统使用费45元,计全年需1.89万元。(2) 网格化管理手机客户端软件服务费29.016万元。市委办公室、市政府办公室《关于加强全市网格化管理和网格员队伍建设的指导意见》中“专（兼）职网格员手持信息采集终端或手机APP要实现全覆盖”要求，拟为我县网格员配备“9+X”综治信息系统手机APP。项目共设产出指标、效果指标、满意度指标三个一级指标，下设9个二、三级指标。具体为：1、效果指标－社会效益指标－业务处理及时性，指标值为&gt;＝90%。2、满意度指标－服务对象满意度－群众对当年综治信息化的整体满意度，指标值为&gt;＝90%。3、产出指标-支付率-每个终端手机每月通讯费，指标值为&gt;＝100%。以上指标依据上级相关文件规定。</w:t>
      </w:r>
    </w:p>
    <w:p>
      <w:pPr>
        <w:pStyle w:val="24"/>
      </w:pPr>
      <w:r>
        <w:t>十三是“雪亮工程”建设政府购买服务项目1196.02万元:经县委书记及县政府有关领导批示，同意建设。经县财政局委托第三方对设备及施工费用概算进行了询价，最终审定设备及施工造价为5086.1998万元，加上维护服务费、传输服务费及电费共计6456.1万元，分六年期付款每年1076.0167万元。另外，需要其他（工程监理费、可研费、专家费）费用120万元（不可分期付款且监理费需要单独招标）。项目共设产出指标、效果指标、满意度指标三个一级指标，下设9个二、三级指标。具体为：1、效果指标－社会效益指标－750个村全覆盖，指标值为&gt;＝95%。2、满意度指标－服务对象满意度－群众对当年雪亮工程的整体满意度，指标值为&gt;＝90%。3、产出指标-新建智能应用平台-实现50个人脸识别，36个车牌识别，指标值为&gt;＝95%。。以上指标依据上级相关文件规定。</w:t>
      </w:r>
    </w:p>
    <w:p>
      <w:pPr>
        <w:pStyle w:val="24"/>
      </w:pPr>
      <w:r>
        <w:t>十四是见义勇为基金10万元。项目共设产出指标、效果指标、满意度指标三个一级指标，下设9个二、三级指标。具体为：1、效果指标－社会效益指标－通过实施见义勇为政策促进社会稳定水平逐步提高，指标值为&gt;＝90%。2、满意度指标－服务对象满意度－群众对当年见义勇为基金发放的整体满意度，指标值为&gt;＝90%。3、产出指标-数量指标-帮扶见义勇为人次，指标值为&gt;＝2次。以上指标依据上级相关文件规定。</w:t>
      </w:r>
    </w:p>
    <w:p>
      <w:pPr>
        <w:pStyle w:val="24"/>
      </w:pPr>
      <w:r>
        <w:t>(十五) 暑期警卫保障经费10万元。</w:t>
      </w:r>
    </w:p>
    <w:p>
      <w:pPr>
        <w:pStyle w:val="24"/>
      </w:pPr>
      <w:r>
        <w:t>按照省暑期工作领导小组关于确保暑期通道执勤规范要求，拟为全体参与执行警卫任务人员统一配备服装，预计支出服装费6万元；拟为沿线乡镇排水费和剪枝费4万元。</w:t>
      </w:r>
    </w:p>
    <w:p>
      <w:pPr>
        <w:pStyle w:val="24"/>
      </w:pPr>
      <w:r>
        <w:t>（十六）疫情期间重点部位视频监控联网资金32.4625万元。</w:t>
      </w:r>
    </w:p>
    <w:p>
      <w:pPr>
        <w:pStyle w:val="24"/>
      </w:pPr>
      <w:r>
        <w:t>由于目前我县疫情防控的严峻形势，按县防控办要求，新冠肺炎疫情防控隔离点新增了3个隔离场所（易居宾馆、暖泉河宾馆、仁和宾馆）。根据市防控指示，需要在新增的疫情隔离点建设高清视频监控系统，联入我县雪亮工程视频图像信息共享平台，供市县两级疫情防控指挥部随时调用。经县委政法委、县公安局、县卫健局3家共同对3个酒店实地测算，易居宾馆需安装31个监控点位，暖泉河宾馆需安装32个监控点位，仁和宾馆实地测算，需安装43个监控点位。,3个新增疫情防控隔离点所用设备、辅材和安装费用共需资金324625元，资金由政法委统一拨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1.协调督导重大不稳定隐患、群体性事件和突发事件的处置化解。对可能影响社会稳定的各种因素进行分析和评估，协调督导有关乡镇和相关职能部门对重大不稳定隐患、群体性事件和突发事件进行妥善处置。</w:t>
      </w:r>
    </w:p>
    <w:p>
      <w:pPr>
        <w:pStyle w:val="25"/>
      </w:pPr>
      <w:r>
        <w:t>2.对各类涉稳情报信息收集、研判、通报。搜集、综合、核实、研判影响我县社会稳定的各种情报信息，对社情、民情、敌情、舆情进行分析、研判、通报。</w:t>
      </w:r>
    </w:p>
    <w:p>
      <w:pPr>
        <w:pStyle w:val="25"/>
      </w:pPr>
      <w:r>
        <w:t>3.网络舆情应对处置。在重大安保活动、重点时段、敏感节点期间针对网上涉及政治稳定、重大敏感问题或可能引发大面积炒作的问题启动战时应对处置机制，妥善应对处置。</w:t>
      </w:r>
    </w:p>
    <w:p>
      <w:pPr>
        <w:pStyle w:val="25"/>
      </w:pPr>
      <w:r>
        <w:t>4.重大活动安保。做好我县各类重大活动间的安全保卫工作，不断完善相关工作机制。</w:t>
      </w:r>
    </w:p>
    <w:p>
      <w:pPr>
        <w:pStyle w:val="25"/>
      </w:pPr>
      <w:r>
        <w:t>5.维护国家安全。组织国家安全宣传教育，开展情报信息搜集，排查涉及国家安全的隐患问题</w:t>
      </w:r>
    </w:p>
    <w:p>
      <w:pPr>
        <w:pStyle w:val="25"/>
      </w:pPr>
      <w:r>
        <w:t>6.防范和处理邪教问题。协调打击顽固分子，教育转化重点人员，加强宣传引导</w:t>
      </w:r>
    </w:p>
    <w:p>
      <w:pPr>
        <w:pStyle w:val="25"/>
      </w:pPr>
      <w:r>
        <w:t>7.创新社会管理方式。推行全县治安保险参保工作，推动严重精神病障碍患者群体帮扶救助工作，夯实基层基础，推动城乡网格化管理、视联网建设、综治中心建设，为社会管理工作提供新模式。</w:t>
      </w:r>
    </w:p>
    <w:p>
      <w:pPr>
        <w:pStyle w:val="25"/>
      </w:pPr>
      <w:r>
        <w:t>8.平安建设。为重大案件顺利侦破提供相应的支持，开展司法救助等活动，确保平安建设顺利开展</w:t>
      </w:r>
    </w:p>
    <w:p>
      <w:pPr>
        <w:pStyle w:val="25"/>
      </w:pPr>
      <w:r>
        <w:t>9.铁路护路联防工作。组织协调各级各部门齐抓共管，组织情况交流和信息反馈。掌握铁路沿线治安情况，组织开展治安隐患排查整治、爱路护路宣传、重要时期护路任务等重点工作，保障县级护路组织和护路人员正常开展工作。</w:t>
      </w:r>
    </w:p>
    <w:p>
      <w:pPr>
        <w:pStyle w:val="25"/>
      </w:pPr>
      <w:r>
        <w:t>10.见义勇为基金经费管理。奖励、抚恤、慰问见义勇为人员。</w:t>
      </w:r>
    </w:p>
    <w:p>
      <w:pPr>
        <w:pStyle w:val="25"/>
      </w:pPr>
      <w:r>
        <w:t>11.加强综合管理。落实从优待警政策，对干警资助资金审核把关，及时发放。组织政法系统英模先进典型宣传，做好机关干部选学工作。做好全县政法系统宣传教育工作。加强涉法涉诉联合接访中心建设工作。加强机关事务性管理，开展机关自身能力建设。</w:t>
      </w:r>
    </w:p>
    <w:p>
      <w:pPr>
        <w:pStyle w:val="25"/>
      </w:pP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1、见义勇为基金绩效目标表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1.目标内容1用于见义勇为人员的奖励</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帮扶见义勇为人次</w:t>
            </w:r>
          </w:p>
        </w:tc>
        <w:tc>
          <w:tcPr>
            <w:tcW w:w="2835" w:type="dxa"/>
            <w:vAlign w:val="center"/>
          </w:tcPr>
          <w:p>
            <w:pPr>
              <w:pStyle w:val="28"/>
            </w:pPr>
            <w:r>
              <w:t>帮扶见义勇为人次</w:t>
            </w:r>
          </w:p>
        </w:tc>
        <w:tc>
          <w:tcPr>
            <w:tcW w:w="2551" w:type="dxa"/>
            <w:vAlign w:val="center"/>
          </w:tcPr>
          <w:p>
            <w:pPr>
              <w:pStyle w:val="28"/>
            </w:pPr>
            <w:r>
              <w:t>≥3人</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奖励抚恤慰问人次</w:t>
            </w:r>
          </w:p>
        </w:tc>
        <w:tc>
          <w:tcPr>
            <w:tcW w:w="2835" w:type="dxa"/>
            <w:vAlign w:val="center"/>
          </w:tcPr>
          <w:p>
            <w:pPr>
              <w:pStyle w:val="28"/>
            </w:pPr>
            <w:r>
              <w:t>奖励、抚恤、慰问省以上表彰的见义勇为人员人次</w:t>
            </w:r>
          </w:p>
        </w:tc>
        <w:tc>
          <w:tcPr>
            <w:tcW w:w="2551" w:type="dxa"/>
            <w:vAlign w:val="center"/>
          </w:tcPr>
          <w:p>
            <w:pPr>
              <w:pStyle w:val="28"/>
            </w:pPr>
            <w:r>
              <w:t>≥3人</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资金拨付率%</w:t>
            </w:r>
          </w:p>
        </w:tc>
        <w:tc>
          <w:tcPr>
            <w:tcW w:w="2835" w:type="dxa"/>
            <w:vAlign w:val="center"/>
          </w:tcPr>
          <w:p>
            <w:pPr>
              <w:pStyle w:val="28"/>
            </w:pPr>
            <w:r>
              <w:t>资金拨付及时</w:t>
            </w:r>
          </w:p>
        </w:tc>
        <w:tc>
          <w:tcPr>
            <w:tcW w:w="2551" w:type="dxa"/>
            <w:vAlign w:val="center"/>
          </w:tcPr>
          <w:p>
            <w:pPr>
              <w:pStyle w:val="28"/>
            </w:pPr>
            <w:r>
              <w:t>及时</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达标</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见义勇为人员奖励、帮扶覆盖率(</w:t>
            </w:r>
          </w:p>
        </w:tc>
        <w:tc>
          <w:tcPr>
            <w:tcW w:w="2835" w:type="dxa"/>
            <w:vAlign w:val="center"/>
          </w:tcPr>
          <w:p>
            <w:pPr>
              <w:pStyle w:val="28"/>
            </w:pPr>
            <w:r>
              <w:t>见义勇为人员奖励、帮扶覆盖率(%)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立功奖励慰问款发放率</w:t>
            </w:r>
          </w:p>
        </w:tc>
        <w:tc>
          <w:tcPr>
            <w:tcW w:w="2835" w:type="dxa"/>
            <w:vAlign w:val="center"/>
          </w:tcPr>
          <w:p>
            <w:pPr>
              <w:pStyle w:val="28"/>
            </w:pPr>
            <w:r>
              <w:t>立功奖励慰问款发放率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确保国家惠民政策落实，促进社会</w:t>
            </w:r>
          </w:p>
        </w:tc>
        <w:tc>
          <w:tcPr>
            <w:tcW w:w="2835" w:type="dxa"/>
            <w:vAlign w:val="center"/>
          </w:tcPr>
          <w:p>
            <w:pPr>
              <w:pStyle w:val="28"/>
            </w:pPr>
            <w:r>
              <w:t>确保国家惠民政策落实，促进社会公平正义，改善民生</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2、联合接访中心经费绩效目标表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1.目标内容1化解信访案件</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有效化解涉检信访矛盾率（%）</w:t>
            </w:r>
          </w:p>
        </w:tc>
        <w:tc>
          <w:tcPr>
            <w:tcW w:w="2835" w:type="dxa"/>
            <w:vAlign w:val="center"/>
          </w:tcPr>
          <w:p>
            <w:pPr>
              <w:pStyle w:val="28"/>
            </w:pPr>
            <w:r>
              <w:t>有效化解涉检信访矛盾率（%）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信访事项按期结案率</w:t>
            </w:r>
          </w:p>
        </w:tc>
        <w:tc>
          <w:tcPr>
            <w:tcW w:w="2835" w:type="dxa"/>
            <w:vAlign w:val="center"/>
          </w:tcPr>
          <w:p>
            <w:pPr>
              <w:pStyle w:val="28"/>
            </w:pPr>
            <w:r>
              <w:t>信访事项按期结案率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信访事项受理及时率</w:t>
            </w:r>
          </w:p>
        </w:tc>
        <w:tc>
          <w:tcPr>
            <w:tcW w:w="2835" w:type="dxa"/>
            <w:vAlign w:val="center"/>
          </w:tcPr>
          <w:p>
            <w:pPr>
              <w:pStyle w:val="28"/>
            </w:pPr>
            <w:r>
              <w:t>信访事项受理及时率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督办信访案件数</w:t>
            </w:r>
          </w:p>
        </w:tc>
        <w:tc>
          <w:tcPr>
            <w:tcW w:w="2835" w:type="dxa"/>
            <w:vAlign w:val="center"/>
          </w:tcPr>
          <w:p>
            <w:pPr>
              <w:pStyle w:val="28"/>
            </w:pPr>
            <w:r>
              <w:t>督办信访案件数</w:t>
            </w:r>
          </w:p>
        </w:tc>
        <w:tc>
          <w:tcPr>
            <w:tcW w:w="2551" w:type="dxa"/>
            <w:vAlign w:val="center"/>
          </w:tcPr>
          <w:p>
            <w:pPr>
              <w:pStyle w:val="28"/>
            </w:pPr>
            <w:r>
              <w:t>≥30个</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信访转诉案件结案率</w:t>
            </w:r>
          </w:p>
        </w:tc>
        <w:tc>
          <w:tcPr>
            <w:tcW w:w="2835" w:type="dxa"/>
            <w:vAlign w:val="center"/>
          </w:tcPr>
          <w:p>
            <w:pPr>
              <w:pStyle w:val="28"/>
            </w:pPr>
            <w:r>
              <w:t>信访转诉案件结案率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化解矛盾率(%)</w:t>
            </w:r>
          </w:p>
        </w:tc>
        <w:tc>
          <w:tcPr>
            <w:tcW w:w="2835" w:type="dxa"/>
            <w:vAlign w:val="center"/>
          </w:tcPr>
          <w:p>
            <w:pPr>
              <w:pStyle w:val="28"/>
            </w:pPr>
            <w:r>
              <w:t>化解矛盾率(%)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≥30个</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3、社会邪教防范处理工作经费绩效目标表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1.目标内容1全力做好县内各种重大活动安保工作，深挖打击邪教顽固分子，教育转化重点人员，确保社会稳定。</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安置帮教率</w:t>
            </w:r>
          </w:p>
        </w:tc>
        <w:tc>
          <w:tcPr>
            <w:tcW w:w="2835" w:type="dxa"/>
            <w:vAlign w:val="center"/>
          </w:tcPr>
          <w:p>
            <w:pPr>
              <w:pStyle w:val="28"/>
            </w:pPr>
            <w:r>
              <w:t>安置帮教率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重点人口管控率（%）</w:t>
            </w:r>
          </w:p>
        </w:tc>
        <w:tc>
          <w:tcPr>
            <w:tcW w:w="2835" w:type="dxa"/>
            <w:vAlign w:val="center"/>
          </w:tcPr>
          <w:p>
            <w:pPr>
              <w:pStyle w:val="28"/>
            </w:pPr>
            <w:r>
              <w:t>重点人口管控率（%）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按期完成率</w:t>
            </w:r>
          </w:p>
        </w:tc>
        <w:tc>
          <w:tcPr>
            <w:tcW w:w="2835" w:type="dxa"/>
            <w:vAlign w:val="center"/>
          </w:tcPr>
          <w:p>
            <w:pPr>
              <w:pStyle w:val="28"/>
            </w:pPr>
            <w:r>
              <w:t>按期完成率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经费使用率(%)</w:t>
            </w:r>
          </w:p>
        </w:tc>
        <w:tc>
          <w:tcPr>
            <w:tcW w:w="2835" w:type="dxa"/>
            <w:vAlign w:val="center"/>
          </w:tcPr>
          <w:p>
            <w:pPr>
              <w:pStyle w:val="28"/>
            </w:pPr>
            <w:r>
              <w:t>经费使用率(%)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安置帮教率(%)</w:t>
            </w:r>
          </w:p>
        </w:tc>
        <w:tc>
          <w:tcPr>
            <w:tcW w:w="2835" w:type="dxa"/>
            <w:vAlign w:val="center"/>
          </w:tcPr>
          <w:p>
            <w:pPr>
              <w:pStyle w:val="28"/>
            </w:pPr>
            <w:r>
              <w:t>安置帮教率(%)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公众安全感指数(%)</w:t>
            </w:r>
          </w:p>
        </w:tc>
        <w:tc>
          <w:tcPr>
            <w:tcW w:w="2835" w:type="dxa"/>
            <w:vAlign w:val="center"/>
          </w:tcPr>
          <w:p>
            <w:pPr>
              <w:pStyle w:val="28"/>
            </w:pPr>
            <w:r>
              <w:t>公众安全感指数(%)</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社会帮教率</w:t>
            </w:r>
          </w:p>
        </w:tc>
        <w:tc>
          <w:tcPr>
            <w:tcW w:w="2835" w:type="dxa"/>
            <w:vAlign w:val="center"/>
          </w:tcPr>
          <w:p>
            <w:pPr>
              <w:pStyle w:val="28"/>
            </w:pPr>
            <w:r>
              <w:t>社会帮教率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市民满意度</w:t>
            </w:r>
          </w:p>
        </w:tc>
        <w:tc>
          <w:tcPr>
            <w:tcW w:w="2835" w:type="dxa"/>
            <w:vAlign w:val="center"/>
          </w:tcPr>
          <w:p>
            <w:pPr>
              <w:pStyle w:val="28"/>
            </w:pPr>
            <w:r>
              <w:t>市民满意度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4、社会治安综合治理专项事业费绩效目标表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1.目标内容1落实社会治安综合治理专项事业费，主要用于综治基础设施建设、基层创安、法制宣传、表彰奖励、典型示范等项综治建设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指导市域社会治理试点工作数</w:t>
            </w:r>
          </w:p>
        </w:tc>
        <w:tc>
          <w:tcPr>
            <w:tcW w:w="2835" w:type="dxa"/>
            <w:vAlign w:val="center"/>
          </w:tcPr>
          <w:p>
            <w:pPr>
              <w:pStyle w:val="28"/>
            </w:pPr>
            <w:r>
              <w:t>指导市域社会治理试点工作数</w:t>
            </w:r>
          </w:p>
        </w:tc>
        <w:tc>
          <w:tcPr>
            <w:tcW w:w="2551" w:type="dxa"/>
            <w:vAlign w:val="center"/>
          </w:tcPr>
          <w:p>
            <w:pPr>
              <w:pStyle w:val="28"/>
            </w:pPr>
            <w:r>
              <w:t>≥10个</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其他各项综合实务工作完成率</w:t>
            </w:r>
          </w:p>
        </w:tc>
        <w:tc>
          <w:tcPr>
            <w:tcW w:w="2835" w:type="dxa"/>
            <w:vAlign w:val="center"/>
          </w:tcPr>
          <w:p>
            <w:pPr>
              <w:pStyle w:val="28"/>
            </w:pPr>
            <w:r>
              <w:t>其他各项综合实务工作完成率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项目按时完成率</w:t>
            </w:r>
          </w:p>
        </w:tc>
        <w:tc>
          <w:tcPr>
            <w:tcW w:w="2835" w:type="dxa"/>
            <w:vAlign w:val="center"/>
          </w:tcPr>
          <w:p>
            <w:pPr>
              <w:pStyle w:val="28"/>
            </w:pPr>
            <w:r>
              <w:t>项目按时完成率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成果对社会影响力</w:t>
            </w:r>
          </w:p>
        </w:tc>
        <w:tc>
          <w:tcPr>
            <w:tcW w:w="2835" w:type="dxa"/>
            <w:vAlign w:val="center"/>
          </w:tcPr>
          <w:p>
            <w:pPr>
              <w:pStyle w:val="28"/>
            </w:pPr>
            <w:r>
              <w:t>成果对社会影响力</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保障工作顺利进行，维护社会稳定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社会公众满意度（%）</w:t>
            </w:r>
          </w:p>
        </w:tc>
        <w:tc>
          <w:tcPr>
            <w:tcW w:w="2835" w:type="dxa"/>
            <w:vAlign w:val="center"/>
          </w:tcPr>
          <w:p>
            <w:pPr>
              <w:pStyle w:val="28"/>
            </w:pPr>
            <w:r>
              <w:t>社会公众满意度（%）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5、铁路护路工作经费绩效目标表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1.目标内容1主要用于对铁路沿线周边的护坡、桥涵的日常维修护理及各重点时期的安全保卫工作。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铁路沿线环境安全隐患排查</w:t>
            </w:r>
          </w:p>
        </w:tc>
        <w:tc>
          <w:tcPr>
            <w:tcW w:w="2835" w:type="dxa"/>
            <w:vAlign w:val="center"/>
          </w:tcPr>
          <w:p>
            <w:pPr>
              <w:pStyle w:val="28"/>
            </w:pPr>
            <w:r>
              <w:t>铁路沿线环境安全隐患排查</w:t>
            </w:r>
          </w:p>
        </w:tc>
        <w:tc>
          <w:tcPr>
            <w:tcW w:w="2551" w:type="dxa"/>
            <w:vAlign w:val="center"/>
          </w:tcPr>
          <w:p>
            <w:pPr>
              <w:pStyle w:val="28"/>
            </w:pPr>
            <w:r>
              <w:t>≥20次</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重大安保任务完成率(%)</w:t>
            </w:r>
          </w:p>
        </w:tc>
        <w:tc>
          <w:tcPr>
            <w:tcW w:w="2835" w:type="dxa"/>
            <w:vAlign w:val="center"/>
          </w:tcPr>
          <w:p>
            <w:pPr>
              <w:pStyle w:val="28"/>
            </w:pPr>
            <w:r>
              <w:t>重大安保任务完成率(%)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治安案件查处率</w:t>
            </w:r>
          </w:p>
        </w:tc>
        <w:tc>
          <w:tcPr>
            <w:tcW w:w="2835" w:type="dxa"/>
            <w:vAlign w:val="center"/>
          </w:tcPr>
          <w:p>
            <w:pPr>
              <w:pStyle w:val="28"/>
            </w:pPr>
            <w:r>
              <w:t>治安案件查处率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道路交通安保稳定保障</w:t>
            </w:r>
          </w:p>
        </w:tc>
        <w:tc>
          <w:tcPr>
            <w:tcW w:w="2835" w:type="dxa"/>
            <w:vAlign w:val="center"/>
          </w:tcPr>
          <w:p>
            <w:pPr>
              <w:pStyle w:val="28"/>
            </w:pPr>
            <w:r>
              <w:t>保障北戴河暑期道路交通安全稳定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铁路护路突发事件发生率(%)</w:t>
            </w:r>
          </w:p>
        </w:tc>
        <w:tc>
          <w:tcPr>
            <w:tcW w:w="2835" w:type="dxa"/>
            <w:vAlign w:val="center"/>
          </w:tcPr>
          <w:p>
            <w:pPr>
              <w:pStyle w:val="28"/>
            </w:pPr>
            <w:r>
              <w:t>铁路护路突发事件发生率(%)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保障铁路运营安全</w:t>
            </w:r>
          </w:p>
        </w:tc>
        <w:tc>
          <w:tcPr>
            <w:tcW w:w="2835" w:type="dxa"/>
            <w:vAlign w:val="center"/>
          </w:tcPr>
          <w:p>
            <w:pPr>
              <w:pStyle w:val="28"/>
            </w:pPr>
            <w:r>
              <w:t>保障铁路运营安全</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交通安全秩序</w:t>
            </w:r>
          </w:p>
        </w:tc>
        <w:tc>
          <w:tcPr>
            <w:tcW w:w="2835" w:type="dxa"/>
            <w:vAlign w:val="center"/>
          </w:tcPr>
          <w:p>
            <w:pPr>
              <w:pStyle w:val="28"/>
            </w:pPr>
            <w:r>
              <w:t>交通安全秩序</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6、稳定工作经费绩效目标表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1.目标内容1主要用于重点时期对特殊群体稳控、赴省进京接访费用。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有效化解涉检信访矛盾率（%）</w:t>
            </w:r>
          </w:p>
        </w:tc>
        <w:tc>
          <w:tcPr>
            <w:tcW w:w="2835" w:type="dxa"/>
            <w:vAlign w:val="center"/>
          </w:tcPr>
          <w:p>
            <w:pPr>
              <w:pStyle w:val="28"/>
            </w:pPr>
            <w:r>
              <w:t>有效化解涉检信访矛盾率（%）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信访事项按期结案率</w:t>
            </w:r>
          </w:p>
        </w:tc>
        <w:tc>
          <w:tcPr>
            <w:tcW w:w="2835" w:type="dxa"/>
            <w:vAlign w:val="center"/>
          </w:tcPr>
          <w:p>
            <w:pPr>
              <w:pStyle w:val="28"/>
            </w:pPr>
            <w:r>
              <w:t>信访事项按期结案率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信访事项受理及时率</w:t>
            </w:r>
          </w:p>
        </w:tc>
        <w:tc>
          <w:tcPr>
            <w:tcW w:w="2835" w:type="dxa"/>
            <w:vAlign w:val="center"/>
          </w:tcPr>
          <w:p>
            <w:pPr>
              <w:pStyle w:val="28"/>
            </w:pPr>
            <w:r>
              <w:t>信访事项受理及时率</w:t>
            </w:r>
          </w:p>
        </w:tc>
        <w:tc>
          <w:tcPr>
            <w:tcW w:w="2551" w:type="dxa"/>
            <w:vAlign w:val="center"/>
          </w:tcPr>
          <w:p>
            <w:pPr>
              <w:pStyle w:val="28"/>
            </w:pPr>
            <w:r>
              <w:t>≥95百分比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信访举报办结率</w:t>
            </w:r>
          </w:p>
        </w:tc>
        <w:tc>
          <w:tcPr>
            <w:tcW w:w="2835" w:type="dxa"/>
            <w:vAlign w:val="center"/>
          </w:tcPr>
          <w:p>
            <w:pPr>
              <w:pStyle w:val="28"/>
            </w:pPr>
            <w:r>
              <w:t>信访举报办结率</w:t>
            </w:r>
          </w:p>
        </w:tc>
        <w:tc>
          <w:tcPr>
            <w:tcW w:w="2551" w:type="dxa"/>
            <w:vAlign w:val="center"/>
          </w:tcPr>
          <w:p>
            <w:pPr>
              <w:pStyle w:val="28"/>
            </w:pPr>
            <w:r>
              <w:t>≥95百分比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信访转诉案件结案率</w:t>
            </w:r>
          </w:p>
        </w:tc>
        <w:tc>
          <w:tcPr>
            <w:tcW w:w="2835" w:type="dxa"/>
            <w:vAlign w:val="center"/>
          </w:tcPr>
          <w:p>
            <w:pPr>
              <w:pStyle w:val="28"/>
            </w:pPr>
            <w:r>
              <w:t>信访转诉案件结案率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社会稳定水平</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促进社会和谐稳定</w:t>
            </w:r>
          </w:p>
        </w:tc>
        <w:tc>
          <w:tcPr>
            <w:tcW w:w="2835" w:type="dxa"/>
            <w:vAlign w:val="center"/>
          </w:tcPr>
          <w:p>
            <w:pPr>
              <w:pStyle w:val="28"/>
            </w:pPr>
            <w:r>
              <w:t>促进社会和谐稳定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7、政法网光纤传输租赁费绩效目标表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1.目标内容1实现通过政法网的视频监控，远程培训，现场直播，信息发布等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运行监测网络运行维护</w:t>
            </w:r>
          </w:p>
        </w:tc>
        <w:tc>
          <w:tcPr>
            <w:tcW w:w="2835" w:type="dxa"/>
            <w:vAlign w:val="center"/>
          </w:tcPr>
          <w:p>
            <w:pPr>
              <w:pStyle w:val="28"/>
            </w:pPr>
            <w:r>
              <w:t>运行监测网络运行维护</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网络信息服务质量情况</w:t>
            </w:r>
          </w:p>
        </w:tc>
        <w:tc>
          <w:tcPr>
            <w:tcW w:w="2835" w:type="dxa"/>
            <w:vAlign w:val="center"/>
          </w:tcPr>
          <w:p>
            <w:pPr>
              <w:pStyle w:val="28"/>
            </w:pPr>
            <w:r>
              <w:t>网络信息服务质量情况</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网络连通率</w:t>
            </w:r>
          </w:p>
        </w:tc>
        <w:tc>
          <w:tcPr>
            <w:tcW w:w="2835" w:type="dxa"/>
            <w:vAlign w:val="center"/>
          </w:tcPr>
          <w:p>
            <w:pPr>
              <w:pStyle w:val="28"/>
            </w:pPr>
            <w:r>
              <w:t>网络连通率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网站等保及运维</w:t>
            </w:r>
          </w:p>
        </w:tc>
        <w:tc>
          <w:tcPr>
            <w:tcW w:w="2835" w:type="dxa"/>
            <w:vAlign w:val="center"/>
          </w:tcPr>
          <w:p>
            <w:pPr>
              <w:pStyle w:val="28"/>
            </w:pPr>
            <w:r>
              <w:t>网站等保及运维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政务信息查询和网上办事服务。</w:t>
            </w:r>
          </w:p>
        </w:tc>
        <w:tc>
          <w:tcPr>
            <w:tcW w:w="2835" w:type="dxa"/>
            <w:vAlign w:val="center"/>
          </w:tcPr>
          <w:p>
            <w:pPr>
              <w:pStyle w:val="28"/>
            </w:pPr>
            <w:r>
              <w:t>政务信息查询和网上办事服务。</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网络技术故障率</w:t>
            </w:r>
          </w:p>
        </w:tc>
        <w:tc>
          <w:tcPr>
            <w:tcW w:w="2835" w:type="dxa"/>
            <w:vAlign w:val="center"/>
          </w:tcPr>
          <w:p>
            <w:pPr>
              <w:pStyle w:val="28"/>
            </w:pPr>
            <w:r>
              <w:t>网络技术故障率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信息网络系统安全</w:t>
            </w:r>
          </w:p>
        </w:tc>
        <w:tc>
          <w:tcPr>
            <w:tcW w:w="2835" w:type="dxa"/>
            <w:vAlign w:val="center"/>
          </w:tcPr>
          <w:p>
            <w:pPr>
              <w:pStyle w:val="28"/>
            </w:pPr>
            <w:r>
              <w:t>信息网络系统安全</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网络安全稳定运行</w:t>
            </w:r>
          </w:p>
        </w:tc>
        <w:tc>
          <w:tcPr>
            <w:tcW w:w="2835" w:type="dxa"/>
            <w:vAlign w:val="center"/>
          </w:tcPr>
          <w:p>
            <w:pPr>
              <w:pStyle w:val="28"/>
            </w:pPr>
            <w:r>
              <w:t>网络安全稳定运行</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网络使用人员满意度</w:t>
            </w:r>
          </w:p>
        </w:tc>
        <w:tc>
          <w:tcPr>
            <w:tcW w:w="2835" w:type="dxa"/>
            <w:vAlign w:val="center"/>
          </w:tcPr>
          <w:p>
            <w:pPr>
              <w:pStyle w:val="28"/>
            </w:pPr>
            <w:r>
              <w:t>网络使用人员满意度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8、#“雪亮工程”购买服务建设项目绩效目标表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1.目标内容1在全县所有村、重点公共区域、重点道路、行业和领域范围内实现视频监控全覆盖。</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视频监控覆盖率</w:t>
            </w:r>
          </w:p>
        </w:tc>
        <w:tc>
          <w:tcPr>
            <w:tcW w:w="2835" w:type="dxa"/>
            <w:vAlign w:val="center"/>
          </w:tcPr>
          <w:p>
            <w:pPr>
              <w:pStyle w:val="28"/>
            </w:pPr>
            <w:r>
              <w:t>路口、主要路段视频监控覆盖及实际使用情况</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路口、主要路段视频监控率（%）</w:t>
            </w:r>
          </w:p>
        </w:tc>
        <w:tc>
          <w:tcPr>
            <w:tcW w:w="2835" w:type="dxa"/>
            <w:vAlign w:val="center"/>
          </w:tcPr>
          <w:p>
            <w:pPr>
              <w:pStyle w:val="28"/>
            </w:pPr>
            <w:r>
              <w:t>路口、主要路段视频监控率（%）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视频监控率</w:t>
            </w:r>
          </w:p>
        </w:tc>
        <w:tc>
          <w:tcPr>
            <w:tcW w:w="2835" w:type="dxa"/>
            <w:vAlign w:val="center"/>
          </w:tcPr>
          <w:p>
            <w:pPr>
              <w:pStyle w:val="28"/>
            </w:pPr>
            <w:r>
              <w:t>视频监控率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维修视频监控</w:t>
            </w:r>
          </w:p>
        </w:tc>
        <w:tc>
          <w:tcPr>
            <w:tcW w:w="2835" w:type="dxa"/>
            <w:vAlign w:val="center"/>
          </w:tcPr>
          <w:p>
            <w:pPr>
              <w:pStyle w:val="28"/>
            </w:pPr>
            <w:r>
              <w:t>维修视频监控</w:t>
            </w:r>
          </w:p>
        </w:tc>
        <w:tc>
          <w:tcPr>
            <w:tcW w:w="2551" w:type="dxa"/>
            <w:vAlign w:val="center"/>
          </w:tcPr>
          <w:p>
            <w:pPr>
              <w:pStyle w:val="28"/>
            </w:pPr>
            <w:r>
              <w:t>及时</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卡口监控覆盖率(%)</w:t>
            </w:r>
          </w:p>
        </w:tc>
        <w:tc>
          <w:tcPr>
            <w:tcW w:w="2835" w:type="dxa"/>
            <w:vAlign w:val="center"/>
          </w:tcPr>
          <w:p>
            <w:pPr>
              <w:pStyle w:val="28"/>
            </w:pPr>
            <w:r>
              <w:t>卡口监控覆盖率(%)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立体化社会治安防控体系覆盖率(</w:t>
            </w:r>
          </w:p>
        </w:tc>
        <w:tc>
          <w:tcPr>
            <w:tcW w:w="2835" w:type="dxa"/>
            <w:vAlign w:val="center"/>
          </w:tcPr>
          <w:p>
            <w:pPr>
              <w:pStyle w:val="28"/>
            </w:pPr>
            <w:r>
              <w:t>立体化社会治安防控体系覆盖率(%)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9、扫黑除恶专项斗争工作经费绩效目标表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1.黑恶势力违法犯罪特别是农村涉黑涉恶问题得到根本遏制</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整治率</w:t>
            </w:r>
            <w:r>
              <w:tab/>
            </w:r>
          </w:p>
        </w:tc>
        <w:tc>
          <w:tcPr>
            <w:tcW w:w="2835" w:type="dxa"/>
            <w:vAlign w:val="center"/>
          </w:tcPr>
          <w:p>
            <w:pPr>
              <w:pStyle w:val="28"/>
            </w:pPr>
            <w:r>
              <w:t>涉黑涉恶治安乱点得到全面整治</w:t>
            </w:r>
            <w:r>
              <w:tab/>
            </w:r>
          </w:p>
          <w:p>
            <w:pPr>
              <w:pStyle w:val="28"/>
            </w:pPr>
          </w:p>
        </w:tc>
        <w:tc>
          <w:tcPr>
            <w:tcW w:w="2551" w:type="dxa"/>
            <w:vAlign w:val="center"/>
          </w:tcPr>
          <w:p>
            <w:pPr>
              <w:pStyle w:val="28"/>
            </w:pPr>
            <w:r>
              <w:t>≥90百分比</w:t>
            </w:r>
          </w:p>
        </w:tc>
        <w:tc>
          <w:tcPr>
            <w:tcW w:w="2268" w:type="dxa"/>
            <w:vAlign w:val="center"/>
          </w:tcPr>
          <w:p>
            <w:pPr>
              <w:pStyle w:val="28"/>
            </w:pPr>
            <w:r>
              <w:t>省市文件</w:t>
            </w:r>
            <w:r>
              <w:tab/>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宣传活动次数</w:t>
            </w:r>
          </w:p>
        </w:tc>
        <w:tc>
          <w:tcPr>
            <w:tcW w:w="2835" w:type="dxa"/>
            <w:vAlign w:val="center"/>
          </w:tcPr>
          <w:p>
            <w:pPr>
              <w:pStyle w:val="28"/>
            </w:pPr>
            <w:r>
              <w:t>扫黑除恶宣传活动次数</w:t>
            </w:r>
          </w:p>
        </w:tc>
        <w:tc>
          <w:tcPr>
            <w:tcW w:w="2551" w:type="dxa"/>
            <w:vAlign w:val="center"/>
          </w:tcPr>
          <w:p>
            <w:pPr>
              <w:pStyle w:val="28"/>
            </w:pPr>
            <w:r>
              <w:t>≥10次</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任务完成及时率</w:t>
            </w:r>
          </w:p>
        </w:tc>
        <w:tc>
          <w:tcPr>
            <w:tcW w:w="2835" w:type="dxa"/>
            <w:vAlign w:val="center"/>
          </w:tcPr>
          <w:p>
            <w:pPr>
              <w:pStyle w:val="28"/>
            </w:pPr>
            <w:r>
              <w:t>任务完成及时率</w:t>
            </w:r>
          </w:p>
        </w:tc>
        <w:tc>
          <w:tcPr>
            <w:tcW w:w="2551" w:type="dxa"/>
            <w:vAlign w:val="center"/>
          </w:tcPr>
          <w:p>
            <w:pPr>
              <w:pStyle w:val="28"/>
            </w:pPr>
            <w:r>
              <w:t>≥95百分比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对社会发展带来的影响</w:t>
            </w:r>
          </w:p>
          <w:p>
            <w:pPr>
              <w:pStyle w:val="28"/>
            </w:pPr>
          </w:p>
          <w:p>
            <w:pPr>
              <w:pStyle w:val="28"/>
            </w:pPr>
          </w:p>
        </w:tc>
        <w:tc>
          <w:tcPr>
            <w:tcW w:w="2835" w:type="dxa"/>
            <w:vAlign w:val="center"/>
          </w:tcPr>
          <w:p>
            <w:pPr>
              <w:pStyle w:val="28"/>
            </w:pPr>
            <w:r>
              <w:t>对社会发展带来的影响</w:t>
            </w:r>
          </w:p>
          <w:p>
            <w:pPr>
              <w:pStyle w:val="28"/>
            </w:pPr>
          </w:p>
          <w:p>
            <w:pPr>
              <w:pStyle w:val="28"/>
            </w:pP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良好社会氛围</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p>
            <w:pPr>
              <w:pStyle w:val="28"/>
            </w:pPr>
          </w:p>
          <w:p>
            <w:pPr>
              <w:pStyle w:val="28"/>
            </w:pPr>
          </w:p>
        </w:tc>
        <w:tc>
          <w:tcPr>
            <w:tcW w:w="2835" w:type="dxa"/>
            <w:vAlign w:val="center"/>
          </w:tcPr>
          <w:p>
            <w:pPr>
              <w:pStyle w:val="28"/>
            </w:pPr>
            <w:r>
              <w:t>在全市产生的重要影响，得到广大受众的充分认可。</w:t>
            </w:r>
          </w:p>
          <w:p>
            <w:pPr>
              <w:pStyle w:val="28"/>
            </w:pPr>
          </w:p>
          <w:p>
            <w:pPr>
              <w:pStyle w:val="28"/>
            </w:pPr>
          </w:p>
        </w:tc>
        <w:tc>
          <w:tcPr>
            <w:tcW w:w="2551" w:type="dxa"/>
            <w:vAlign w:val="center"/>
          </w:tcPr>
          <w:p>
            <w:pPr>
              <w:pStyle w:val="28"/>
            </w:pPr>
            <w:r>
              <w:t>社会影响力</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10、涉法涉诉信访救助基金绩效目标表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1.及时有效的化解各类涉法信访问题</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有效化解涉检信访矛盾率（%）</w:t>
            </w:r>
          </w:p>
        </w:tc>
        <w:tc>
          <w:tcPr>
            <w:tcW w:w="2835" w:type="dxa"/>
            <w:vAlign w:val="center"/>
          </w:tcPr>
          <w:p>
            <w:pPr>
              <w:pStyle w:val="28"/>
            </w:pPr>
            <w:r>
              <w:t>有效化解涉检信访矛盾率（%）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信访事项按期结案率</w:t>
            </w:r>
          </w:p>
        </w:tc>
        <w:tc>
          <w:tcPr>
            <w:tcW w:w="2835" w:type="dxa"/>
            <w:vAlign w:val="center"/>
          </w:tcPr>
          <w:p>
            <w:pPr>
              <w:pStyle w:val="28"/>
            </w:pPr>
            <w:r>
              <w:t>信访事项按期结案率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信访事项受理及时率</w:t>
            </w:r>
          </w:p>
        </w:tc>
        <w:tc>
          <w:tcPr>
            <w:tcW w:w="2835" w:type="dxa"/>
            <w:vAlign w:val="center"/>
          </w:tcPr>
          <w:p>
            <w:pPr>
              <w:pStyle w:val="28"/>
            </w:pPr>
            <w:r>
              <w:t>信访事项受理及时率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信访转诉案件结案率</w:t>
            </w:r>
          </w:p>
        </w:tc>
        <w:tc>
          <w:tcPr>
            <w:tcW w:w="2835" w:type="dxa"/>
            <w:vAlign w:val="center"/>
          </w:tcPr>
          <w:p>
            <w:pPr>
              <w:pStyle w:val="28"/>
            </w:pPr>
            <w:r>
              <w:t>信访转诉案件结案率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使信访群众罢访</w:t>
            </w:r>
          </w:p>
        </w:tc>
        <w:tc>
          <w:tcPr>
            <w:tcW w:w="2835" w:type="dxa"/>
            <w:vAlign w:val="center"/>
          </w:tcPr>
          <w:p>
            <w:pPr>
              <w:pStyle w:val="28"/>
            </w:pPr>
            <w:r>
              <w:t>使用省级解难资金求助信访群众罢访率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保障工作顺利进行，维护社会稳定</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保持信访形势总体平稳</w:t>
            </w:r>
          </w:p>
        </w:tc>
        <w:tc>
          <w:tcPr>
            <w:tcW w:w="2835" w:type="dxa"/>
            <w:vAlign w:val="center"/>
          </w:tcPr>
          <w:p>
            <w:pPr>
              <w:pStyle w:val="28"/>
            </w:pPr>
            <w:r>
              <w:t>保持信访形势总体平稳可控</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11、暑期警卫保障经费绩效目标表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1.目标内容1对铁路沿线周边的护坡、桥涵的日常维修护理及各重点时期（特别是暑期）安全保卫工作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任务完成的及时性</w:t>
            </w:r>
          </w:p>
        </w:tc>
        <w:tc>
          <w:tcPr>
            <w:tcW w:w="2835" w:type="dxa"/>
            <w:vAlign w:val="center"/>
          </w:tcPr>
          <w:p>
            <w:pPr>
              <w:pStyle w:val="28"/>
            </w:pPr>
            <w:r>
              <w:t>及时完成安保工作</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重大安保任务完成率(%)</w:t>
            </w:r>
          </w:p>
        </w:tc>
        <w:tc>
          <w:tcPr>
            <w:tcW w:w="2835" w:type="dxa"/>
            <w:vAlign w:val="center"/>
          </w:tcPr>
          <w:p>
            <w:pPr>
              <w:pStyle w:val="28"/>
            </w:pPr>
            <w:r>
              <w:t>重大安保任务完成率(%)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费用支付正常确保正常运转</w:t>
            </w:r>
          </w:p>
        </w:tc>
        <w:tc>
          <w:tcPr>
            <w:tcW w:w="2835" w:type="dxa"/>
            <w:vAlign w:val="center"/>
          </w:tcPr>
          <w:p>
            <w:pPr>
              <w:pStyle w:val="28"/>
            </w:pPr>
            <w:r>
              <w:t>费用支付正常确保正常运转</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运行保障成本</w:t>
            </w:r>
          </w:p>
        </w:tc>
        <w:tc>
          <w:tcPr>
            <w:tcW w:w="2835" w:type="dxa"/>
            <w:vAlign w:val="center"/>
          </w:tcPr>
          <w:p>
            <w:pPr>
              <w:pStyle w:val="28"/>
            </w:pPr>
            <w:r>
              <w:t>运行保障成本</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铁路护路突发事件发生率(%)</w:t>
            </w:r>
          </w:p>
        </w:tc>
        <w:tc>
          <w:tcPr>
            <w:tcW w:w="2835" w:type="dxa"/>
            <w:vAlign w:val="center"/>
          </w:tcPr>
          <w:p>
            <w:pPr>
              <w:pStyle w:val="28"/>
            </w:pPr>
            <w:r>
              <w:t>铁路护路突发事件发生率(%)</w:t>
            </w:r>
          </w:p>
        </w:tc>
        <w:tc>
          <w:tcPr>
            <w:tcW w:w="2551" w:type="dxa"/>
            <w:vAlign w:val="center"/>
          </w:tcPr>
          <w:p>
            <w:pPr>
              <w:pStyle w:val="28"/>
            </w:pPr>
            <w:r>
              <w:t>≤10百分比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12、严重精神障碍患者监护人以奖代补和责任险绩效目标表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1.目标内容1创新立体化社会防控体系的要求，激励严重精神障碍患者监护人更好地履行看护管理责任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已管理的严重精神障碍患者人数</w:t>
            </w:r>
          </w:p>
        </w:tc>
        <w:tc>
          <w:tcPr>
            <w:tcW w:w="2835" w:type="dxa"/>
            <w:vAlign w:val="center"/>
          </w:tcPr>
          <w:p>
            <w:pPr>
              <w:pStyle w:val="28"/>
            </w:pPr>
            <w:r>
              <w:t>已管理的严重精神障碍患者人数</w:t>
            </w:r>
          </w:p>
        </w:tc>
        <w:tc>
          <w:tcPr>
            <w:tcW w:w="2551" w:type="dxa"/>
            <w:vAlign w:val="center"/>
          </w:tcPr>
          <w:p>
            <w:pPr>
              <w:pStyle w:val="28"/>
            </w:pPr>
            <w:r>
              <w:t>≥3117</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严重精神障碍患者在册管理率</w:t>
            </w:r>
          </w:p>
        </w:tc>
        <w:tc>
          <w:tcPr>
            <w:tcW w:w="2835" w:type="dxa"/>
            <w:vAlign w:val="center"/>
          </w:tcPr>
          <w:p>
            <w:pPr>
              <w:pStyle w:val="28"/>
            </w:pPr>
            <w:r>
              <w:t>严重精神障碍患者在册管理率</w:t>
            </w:r>
          </w:p>
        </w:tc>
        <w:tc>
          <w:tcPr>
            <w:tcW w:w="2551" w:type="dxa"/>
            <w:vAlign w:val="center"/>
          </w:tcPr>
          <w:p>
            <w:pPr>
              <w:pStyle w:val="28"/>
            </w:pPr>
            <w:r>
              <w:t>≥90</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按规定时限发放工资、缴纳保险</w:t>
            </w:r>
          </w:p>
        </w:tc>
        <w:tc>
          <w:tcPr>
            <w:tcW w:w="2835" w:type="dxa"/>
            <w:vAlign w:val="center"/>
          </w:tcPr>
          <w:p>
            <w:pPr>
              <w:pStyle w:val="28"/>
            </w:pPr>
            <w:r>
              <w:t>按规定时限缴纳保险</w:t>
            </w:r>
          </w:p>
        </w:tc>
        <w:tc>
          <w:tcPr>
            <w:tcW w:w="2551" w:type="dxa"/>
            <w:vAlign w:val="center"/>
          </w:tcPr>
          <w:p>
            <w:pPr>
              <w:pStyle w:val="28"/>
            </w:pPr>
            <w:r>
              <w:t>按时缴纳</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社会保险补贴人均标准</w:t>
            </w:r>
          </w:p>
        </w:tc>
        <w:tc>
          <w:tcPr>
            <w:tcW w:w="2835" w:type="dxa"/>
            <w:vAlign w:val="center"/>
          </w:tcPr>
          <w:p>
            <w:pPr>
              <w:pStyle w:val="28"/>
            </w:pPr>
            <w:r>
              <w:t>社会保险补贴人均标准</w:t>
            </w:r>
          </w:p>
        </w:tc>
        <w:tc>
          <w:tcPr>
            <w:tcW w:w="2551" w:type="dxa"/>
            <w:vAlign w:val="center"/>
          </w:tcPr>
          <w:p>
            <w:pPr>
              <w:pStyle w:val="28"/>
            </w:pPr>
            <w:r>
              <w:t>≥90</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治安、刑事案件下降率（%）</w:t>
            </w:r>
          </w:p>
        </w:tc>
        <w:tc>
          <w:tcPr>
            <w:tcW w:w="2835" w:type="dxa"/>
            <w:vAlign w:val="center"/>
          </w:tcPr>
          <w:p>
            <w:pPr>
              <w:pStyle w:val="28"/>
            </w:pPr>
            <w:r>
              <w:t>治安、刑事案件下降率（%）</w:t>
            </w:r>
          </w:p>
        </w:tc>
        <w:tc>
          <w:tcPr>
            <w:tcW w:w="2551" w:type="dxa"/>
            <w:vAlign w:val="center"/>
          </w:tcPr>
          <w:p>
            <w:pPr>
              <w:pStyle w:val="28"/>
            </w:pPr>
            <w:r>
              <w:t>≥90</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氛围良好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13、疫情期间重点部位视频监控联网资金绩效目标表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1.目标内容1在新增的疫情隔离点建设高清视频监控系统，联入我县雪亮工程视频图像信息共享平台，供市县两级疫情防控指挥部随时调用。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视频监控覆盖率</w:t>
            </w:r>
          </w:p>
        </w:tc>
        <w:tc>
          <w:tcPr>
            <w:tcW w:w="2835" w:type="dxa"/>
            <w:vAlign w:val="center"/>
          </w:tcPr>
          <w:p>
            <w:pPr>
              <w:pStyle w:val="28"/>
            </w:pPr>
            <w:r>
              <w:t>路口、主要路段视频监控覆盖及实际使用情况</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监控设备完好率</w:t>
            </w:r>
          </w:p>
        </w:tc>
        <w:tc>
          <w:tcPr>
            <w:tcW w:w="2835" w:type="dxa"/>
            <w:vAlign w:val="center"/>
          </w:tcPr>
          <w:p>
            <w:pPr>
              <w:pStyle w:val="28"/>
            </w:pPr>
            <w:r>
              <w:t>监控设备完好率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监控设备等维护响应时间</w:t>
            </w:r>
          </w:p>
        </w:tc>
        <w:tc>
          <w:tcPr>
            <w:tcW w:w="2835" w:type="dxa"/>
            <w:vAlign w:val="center"/>
          </w:tcPr>
          <w:p>
            <w:pPr>
              <w:pStyle w:val="28"/>
            </w:pPr>
            <w:r>
              <w:t>监控设备等维护响应时间</w:t>
            </w:r>
          </w:p>
        </w:tc>
        <w:tc>
          <w:tcPr>
            <w:tcW w:w="2551" w:type="dxa"/>
            <w:vAlign w:val="center"/>
          </w:tcPr>
          <w:p>
            <w:pPr>
              <w:pStyle w:val="28"/>
            </w:pPr>
            <w:r>
              <w:t>及时</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监控设备正常工作的时间比例</w:t>
            </w:r>
          </w:p>
        </w:tc>
        <w:tc>
          <w:tcPr>
            <w:tcW w:w="2835" w:type="dxa"/>
            <w:vAlign w:val="center"/>
          </w:tcPr>
          <w:p>
            <w:pPr>
              <w:pStyle w:val="28"/>
            </w:pPr>
            <w:r>
              <w:t>监控设备正常工作的时间比例</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卡口监控覆盖率(%)</w:t>
            </w:r>
          </w:p>
        </w:tc>
        <w:tc>
          <w:tcPr>
            <w:tcW w:w="2835" w:type="dxa"/>
            <w:vAlign w:val="center"/>
          </w:tcPr>
          <w:p>
            <w:pPr>
              <w:pStyle w:val="28"/>
            </w:pPr>
            <w:r>
              <w:t>卡口监控覆盖率(%)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14、政法三四级网升级扩容改造项目绩效目标表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1.目标内容1建成综合控制系统、图像显示系统、多媒体音响系统、监控工位，综治中心机房及必备的中心网络设备等，满足日常管理维护和应急指挥的需要。</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乡镇网点覆盖率</w:t>
            </w:r>
          </w:p>
        </w:tc>
        <w:tc>
          <w:tcPr>
            <w:tcW w:w="2835" w:type="dxa"/>
            <w:vAlign w:val="center"/>
          </w:tcPr>
          <w:p>
            <w:pPr>
              <w:pStyle w:val="28"/>
            </w:pPr>
            <w:r>
              <w:t>乡镇网点覆盖率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全年网络可用率</w:t>
            </w:r>
          </w:p>
        </w:tc>
        <w:tc>
          <w:tcPr>
            <w:tcW w:w="2835" w:type="dxa"/>
            <w:vAlign w:val="center"/>
          </w:tcPr>
          <w:p>
            <w:pPr>
              <w:pStyle w:val="28"/>
            </w:pPr>
            <w:r>
              <w:t>全年网络可用率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网络连通率</w:t>
            </w:r>
          </w:p>
        </w:tc>
        <w:tc>
          <w:tcPr>
            <w:tcW w:w="2835" w:type="dxa"/>
            <w:vAlign w:val="center"/>
          </w:tcPr>
          <w:p>
            <w:pPr>
              <w:pStyle w:val="28"/>
            </w:pPr>
            <w:r>
              <w:t>网络连通率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网站等保及运维</w:t>
            </w:r>
          </w:p>
        </w:tc>
        <w:tc>
          <w:tcPr>
            <w:tcW w:w="2835" w:type="dxa"/>
            <w:vAlign w:val="center"/>
          </w:tcPr>
          <w:p>
            <w:pPr>
              <w:pStyle w:val="28"/>
            </w:pPr>
            <w:r>
              <w:t>网站等保及运维</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政务信息查询和网上办事服务。</w:t>
            </w:r>
          </w:p>
        </w:tc>
        <w:tc>
          <w:tcPr>
            <w:tcW w:w="2835" w:type="dxa"/>
            <w:vAlign w:val="center"/>
          </w:tcPr>
          <w:p>
            <w:pPr>
              <w:pStyle w:val="28"/>
            </w:pPr>
            <w:r>
              <w:t>政务信息查询和网上办事服务。</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网络技术故障率</w:t>
            </w:r>
          </w:p>
        </w:tc>
        <w:tc>
          <w:tcPr>
            <w:tcW w:w="2835" w:type="dxa"/>
            <w:vAlign w:val="center"/>
          </w:tcPr>
          <w:p>
            <w:pPr>
              <w:pStyle w:val="28"/>
            </w:pPr>
            <w:r>
              <w:t>网络技术故障率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网络安全稳定运行</w:t>
            </w:r>
          </w:p>
        </w:tc>
        <w:tc>
          <w:tcPr>
            <w:tcW w:w="2835" w:type="dxa"/>
            <w:vAlign w:val="center"/>
          </w:tcPr>
          <w:p>
            <w:pPr>
              <w:pStyle w:val="28"/>
            </w:pPr>
            <w:r>
              <w:t>网络安全稳定运行</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网络安全保障</w:t>
            </w:r>
          </w:p>
        </w:tc>
        <w:tc>
          <w:tcPr>
            <w:tcW w:w="2835" w:type="dxa"/>
            <w:vAlign w:val="center"/>
          </w:tcPr>
          <w:p>
            <w:pPr>
              <w:pStyle w:val="28"/>
            </w:pPr>
            <w:r>
              <w:t>网络发生的安全事件等级</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网络使用人员满意度</w:t>
            </w:r>
          </w:p>
        </w:tc>
        <w:tc>
          <w:tcPr>
            <w:tcW w:w="2835" w:type="dxa"/>
            <w:vAlign w:val="center"/>
          </w:tcPr>
          <w:p>
            <w:pPr>
              <w:pStyle w:val="28"/>
            </w:pPr>
            <w:r>
              <w:t>网络使用人员满意度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15、治安保险承保资金绩效目标表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1.目标内容1主要是针对群众遭遇各类治安灾害和受到违法犯罪分子侵害所出现的损失，由保险公司根据受害人投保额度，向受害人提供事后经济补偿的保险服务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治安案件办结率</w:t>
            </w:r>
          </w:p>
        </w:tc>
        <w:tc>
          <w:tcPr>
            <w:tcW w:w="2835" w:type="dxa"/>
            <w:vAlign w:val="center"/>
          </w:tcPr>
          <w:p>
            <w:pPr>
              <w:pStyle w:val="28"/>
            </w:pPr>
            <w:r>
              <w:t>治安案件办结率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治安保险的投保率</w:t>
            </w:r>
          </w:p>
        </w:tc>
        <w:tc>
          <w:tcPr>
            <w:tcW w:w="2835" w:type="dxa"/>
            <w:vAlign w:val="center"/>
          </w:tcPr>
          <w:p>
            <w:pPr>
              <w:pStyle w:val="28"/>
            </w:pPr>
            <w:r>
              <w:t>治安保险在全县的投保比率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治安保险的推广率</w:t>
            </w:r>
          </w:p>
        </w:tc>
        <w:tc>
          <w:tcPr>
            <w:tcW w:w="2835" w:type="dxa"/>
            <w:vAlign w:val="center"/>
          </w:tcPr>
          <w:p>
            <w:pPr>
              <w:pStyle w:val="28"/>
            </w:pPr>
            <w:r>
              <w:t>治安保险在全县的推广比率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社会保险补贴人均标准</w:t>
            </w:r>
          </w:p>
        </w:tc>
        <w:tc>
          <w:tcPr>
            <w:tcW w:w="2835" w:type="dxa"/>
            <w:vAlign w:val="center"/>
          </w:tcPr>
          <w:p>
            <w:pPr>
              <w:pStyle w:val="28"/>
            </w:pPr>
            <w:r>
              <w:t>社会保险补贴人均标准</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事故赔付率</w:t>
            </w:r>
          </w:p>
          <w:p>
            <w:pPr>
              <w:pStyle w:val="28"/>
            </w:pPr>
          </w:p>
        </w:tc>
        <w:tc>
          <w:tcPr>
            <w:tcW w:w="2835" w:type="dxa"/>
            <w:vAlign w:val="center"/>
          </w:tcPr>
          <w:p>
            <w:pPr>
              <w:pStyle w:val="28"/>
            </w:pPr>
            <w:r>
              <w:t>保险公司出险及赔付比例</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治安案件发案数（个）</w:t>
            </w:r>
          </w:p>
        </w:tc>
        <w:tc>
          <w:tcPr>
            <w:tcW w:w="2835" w:type="dxa"/>
            <w:vAlign w:val="center"/>
          </w:tcPr>
          <w:p>
            <w:pPr>
              <w:pStyle w:val="28"/>
            </w:pPr>
            <w:r>
              <w:t>治安案件发案数（个）</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服务率</w:t>
            </w:r>
          </w:p>
        </w:tc>
        <w:tc>
          <w:tcPr>
            <w:tcW w:w="2835" w:type="dxa"/>
            <w:vAlign w:val="center"/>
          </w:tcPr>
          <w:p>
            <w:pPr>
              <w:pStyle w:val="28"/>
            </w:pPr>
            <w:r>
              <w:t>得到治安保险服务数量占符合条件应赔偿总数的比例</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16、综治信息化系统建设经费绩效目标表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1.目标内容1专（兼）职网格员手持信息采集终端或手机APP要实现全覆盖</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年度信息系统数量</w:t>
            </w:r>
          </w:p>
        </w:tc>
        <w:tc>
          <w:tcPr>
            <w:tcW w:w="2835" w:type="dxa"/>
            <w:vAlign w:val="center"/>
          </w:tcPr>
          <w:p>
            <w:pPr>
              <w:pStyle w:val="28"/>
            </w:pPr>
            <w:r>
              <w:t>年度信息系统数量</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信息系统建设维护工作完成率</w:t>
            </w:r>
          </w:p>
        </w:tc>
        <w:tc>
          <w:tcPr>
            <w:tcW w:w="2835" w:type="dxa"/>
            <w:vAlign w:val="center"/>
          </w:tcPr>
          <w:p>
            <w:pPr>
              <w:pStyle w:val="28"/>
            </w:pPr>
            <w:r>
              <w:t>信息系统建设维护工作完成率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信息获取及时性</w:t>
            </w:r>
          </w:p>
        </w:tc>
        <w:tc>
          <w:tcPr>
            <w:tcW w:w="2835" w:type="dxa"/>
            <w:vAlign w:val="center"/>
          </w:tcPr>
          <w:p>
            <w:pPr>
              <w:pStyle w:val="28"/>
            </w:pPr>
            <w:r>
              <w:t>信息获取及时性</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单条信息成本</w:t>
            </w:r>
          </w:p>
        </w:tc>
        <w:tc>
          <w:tcPr>
            <w:tcW w:w="2835" w:type="dxa"/>
            <w:vAlign w:val="center"/>
          </w:tcPr>
          <w:p>
            <w:pPr>
              <w:pStyle w:val="28"/>
            </w:pPr>
            <w:r>
              <w:t>单条信息成本</w:t>
            </w:r>
          </w:p>
        </w:tc>
        <w:tc>
          <w:tcPr>
            <w:tcW w:w="2551" w:type="dxa"/>
            <w:vAlign w:val="center"/>
          </w:tcPr>
          <w:p>
            <w:pPr>
              <w:pStyle w:val="28"/>
            </w:pPr>
            <w:r>
              <w:t>≥70百分比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保持信息系统良好安全状态，确保</w:t>
            </w:r>
          </w:p>
        </w:tc>
        <w:tc>
          <w:tcPr>
            <w:tcW w:w="2835" w:type="dxa"/>
            <w:vAlign w:val="center"/>
          </w:tcPr>
          <w:p>
            <w:pPr>
              <w:pStyle w:val="28"/>
            </w:pPr>
            <w:r>
              <w:t>保持信息系统良好安全状态，确保正常运行</w:t>
            </w:r>
          </w:p>
        </w:tc>
        <w:tc>
          <w:tcPr>
            <w:tcW w:w="2551" w:type="dxa"/>
            <w:vAlign w:val="center"/>
          </w:tcPr>
          <w:p>
            <w:pPr>
              <w:pStyle w:val="28"/>
            </w:pPr>
            <w:r>
              <w:t>系统良好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保证信息备案、数据</w:t>
            </w:r>
          </w:p>
        </w:tc>
        <w:tc>
          <w:tcPr>
            <w:tcW w:w="2835" w:type="dxa"/>
            <w:vAlign w:val="center"/>
          </w:tcPr>
          <w:p>
            <w:pPr>
              <w:pStyle w:val="28"/>
            </w:pPr>
            <w:r>
              <w:t>保证信息备案、数据分析研判等工作顺利开展</w:t>
            </w:r>
          </w:p>
        </w:tc>
        <w:tc>
          <w:tcPr>
            <w:tcW w:w="2551" w:type="dxa"/>
            <w:vAlign w:val="center"/>
          </w:tcPr>
          <w:p>
            <w:pPr>
              <w:pStyle w:val="28"/>
            </w:pPr>
            <w:r>
              <w:t>工作顺利</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有价值情报信息采用率</w:t>
            </w:r>
          </w:p>
        </w:tc>
        <w:tc>
          <w:tcPr>
            <w:tcW w:w="2835" w:type="dxa"/>
            <w:vAlign w:val="center"/>
          </w:tcPr>
          <w:p>
            <w:pPr>
              <w:pStyle w:val="28"/>
            </w:pPr>
            <w:r>
              <w:t>有价值情报信息采用率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调研报告、社情民意信息得到有关</w:t>
            </w:r>
          </w:p>
        </w:tc>
        <w:tc>
          <w:tcPr>
            <w:tcW w:w="2835" w:type="dxa"/>
            <w:vAlign w:val="center"/>
          </w:tcPr>
          <w:p>
            <w:pPr>
              <w:pStyle w:val="28"/>
            </w:pPr>
            <w:r>
              <w:t>调研报告、社情民意信息得到有关部门、上级领导等反馈率</w:t>
            </w:r>
          </w:p>
        </w:tc>
        <w:tc>
          <w:tcPr>
            <w:tcW w:w="2551" w:type="dxa"/>
            <w:vAlign w:val="center"/>
          </w:tcPr>
          <w:p>
            <w:pPr>
              <w:pStyle w:val="28"/>
            </w:pPr>
            <w:r>
              <w:t>有效利用</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科普信息化受惠群众满意度</w:t>
            </w:r>
          </w:p>
        </w:tc>
        <w:tc>
          <w:tcPr>
            <w:tcW w:w="2835" w:type="dxa"/>
            <w:vAlign w:val="center"/>
          </w:tcPr>
          <w:p>
            <w:pPr>
              <w:pStyle w:val="28"/>
            </w:pPr>
            <w:r>
              <w:t>科普信息化受惠群众满意度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2022年，中国共产党玉田县委员会政法委员会安排政府采购预算0.00万元。具体内容见下表。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中国共产党玉田县委员会政法委员会（含所属单位）上年末固定资产金额为45000.00万元（详见下表）。本年度拟购置固定资产总额为0.00万元，已按要求列入政府采购预算，详见政府采购预算表。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308中国共产党玉田县委员会政法委员会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一、中国共产党玉田县委员会政法委员会本级收支预算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18031526.11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18031526.11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18031526.11</w:t>
            </w:r>
          </w:p>
        </w:tc>
        <w:tc>
          <w:tcPr>
            <w:tcW w:w="4535" w:type="dxa"/>
            <w:vAlign w:val="center"/>
          </w:tcPr>
          <w:p>
            <w:pPr>
              <w:pStyle w:val="16"/>
            </w:pPr>
            <w:r>
              <w:t>本年支出合计</w:t>
            </w:r>
          </w:p>
        </w:tc>
        <w:tc>
          <w:tcPr>
            <w:tcW w:w="2126" w:type="dxa"/>
            <w:vAlign w:val="center"/>
          </w:tcPr>
          <w:p>
            <w:pPr>
              <w:pStyle w:val="17"/>
            </w:pPr>
            <w:r>
              <w:t>18031526.11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18031526.11</w:t>
            </w:r>
          </w:p>
        </w:tc>
        <w:tc>
          <w:tcPr>
            <w:tcW w:w="4535" w:type="dxa"/>
            <w:vAlign w:val="center"/>
          </w:tcPr>
          <w:p>
            <w:pPr>
              <w:pStyle w:val="16"/>
            </w:pPr>
            <w:r>
              <w:t>支出总计</w:t>
            </w:r>
          </w:p>
        </w:tc>
        <w:tc>
          <w:tcPr>
            <w:tcW w:w="2126" w:type="dxa"/>
            <w:vAlign w:val="center"/>
          </w:tcPr>
          <w:p>
            <w:pPr>
              <w:pStyle w:val="17"/>
            </w:pPr>
            <w:r>
              <w:t>18031526.11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18031526.11</w:t>
            </w:r>
          </w:p>
        </w:tc>
        <w:tc>
          <w:tcPr>
            <w:tcW w:w="1134" w:type="dxa"/>
            <w:vAlign w:val="center"/>
          </w:tcPr>
          <w:p>
            <w:pPr>
              <w:pStyle w:val="17"/>
            </w:pPr>
            <w:r>
              <w:t>18031526.11</w:t>
            </w:r>
          </w:p>
        </w:tc>
        <w:tc>
          <w:tcPr>
            <w:tcW w:w="1134" w:type="dxa"/>
            <w:vAlign w:val="center"/>
          </w:tcPr>
          <w:p>
            <w:pPr>
              <w:pStyle w:val="17"/>
            </w:pPr>
            <w:r>
              <w:t>18031526.11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r>
              <w:t>18031526.11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2040202</w:t>
            </w:r>
          </w:p>
        </w:tc>
        <w:tc>
          <w:tcPr>
            <w:tcW w:w="1559" w:type="dxa"/>
            <w:vAlign w:val="center"/>
          </w:tcPr>
          <w:p>
            <w:pPr>
              <w:pStyle w:val="14"/>
            </w:pPr>
            <w:r>
              <w:t>一般行政管理事务</w:t>
            </w:r>
          </w:p>
        </w:tc>
        <w:tc>
          <w:tcPr>
            <w:tcW w:w="1134" w:type="dxa"/>
            <w:vAlign w:val="center"/>
          </w:tcPr>
          <w:p>
            <w:pPr>
              <w:pStyle w:val="13"/>
            </w:pPr>
            <w:r>
              <w:t>17647704.11</w:t>
            </w:r>
          </w:p>
        </w:tc>
        <w:tc>
          <w:tcPr>
            <w:tcW w:w="1134" w:type="dxa"/>
            <w:vAlign w:val="center"/>
          </w:tcPr>
          <w:p>
            <w:pPr>
              <w:pStyle w:val="13"/>
            </w:pPr>
            <w:r>
              <w:t>17647704.11</w:t>
            </w:r>
          </w:p>
        </w:tc>
        <w:tc>
          <w:tcPr>
            <w:tcW w:w="1134" w:type="dxa"/>
            <w:vAlign w:val="center"/>
          </w:tcPr>
          <w:p>
            <w:pPr>
              <w:pStyle w:val="13"/>
            </w:pPr>
            <w:r>
              <w:t>17647704.11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383822.00</w:t>
            </w:r>
          </w:p>
        </w:tc>
        <w:tc>
          <w:tcPr>
            <w:tcW w:w="1134" w:type="dxa"/>
            <w:vAlign w:val="center"/>
          </w:tcPr>
          <w:p>
            <w:pPr>
              <w:pStyle w:val="13"/>
            </w:pPr>
            <w:r>
              <w:t>383822.00</w:t>
            </w:r>
          </w:p>
        </w:tc>
        <w:tc>
          <w:tcPr>
            <w:tcW w:w="1134" w:type="dxa"/>
            <w:vAlign w:val="center"/>
          </w:tcPr>
          <w:p>
            <w:pPr>
              <w:pStyle w:val="13"/>
            </w:pPr>
            <w:r>
              <w:t>383822.00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18031526.11</w:t>
            </w:r>
          </w:p>
        </w:tc>
        <w:tc>
          <w:tcPr>
            <w:tcW w:w="1361" w:type="dxa"/>
            <w:vAlign w:val="center"/>
          </w:tcPr>
          <w:p>
            <w:pPr>
              <w:pStyle w:val="17"/>
            </w:pPr>
            <w:r>
              <w:t>383822.00</w:t>
            </w:r>
          </w:p>
        </w:tc>
        <w:tc>
          <w:tcPr>
            <w:tcW w:w="1361" w:type="dxa"/>
            <w:vAlign w:val="center"/>
          </w:tcPr>
          <w:p>
            <w:pPr>
              <w:pStyle w:val="17"/>
            </w:pPr>
            <w:r>
              <w:t>17647704.11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18031526.11</w:t>
            </w:r>
          </w:p>
        </w:tc>
        <w:tc>
          <w:tcPr>
            <w:tcW w:w="1361" w:type="dxa"/>
            <w:vAlign w:val="center"/>
          </w:tcPr>
          <w:p>
            <w:pPr>
              <w:pStyle w:val="13"/>
            </w:pPr>
            <w:r>
              <w:t>383822.00</w:t>
            </w: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18031526.11</w:t>
            </w:r>
          </w:p>
        </w:tc>
        <w:tc>
          <w:tcPr>
            <w:tcW w:w="1361" w:type="dxa"/>
            <w:vAlign w:val="center"/>
          </w:tcPr>
          <w:p>
            <w:pPr>
              <w:pStyle w:val="13"/>
            </w:pPr>
            <w:r>
              <w:t>383822.00</w:t>
            </w: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2040202</w:t>
            </w:r>
          </w:p>
        </w:tc>
        <w:tc>
          <w:tcPr>
            <w:tcW w:w="4535" w:type="dxa"/>
            <w:vAlign w:val="center"/>
          </w:tcPr>
          <w:p>
            <w:pPr>
              <w:pStyle w:val="14"/>
            </w:pPr>
            <w:r>
              <w:t>一般行政管理事务</w:t>
            </w: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r>
              <w:t>17647704.11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383822.00</w:t>
            </w:r>
          </w:p>
        </w:tc>
        <w:tc>
          <w:tcPr>
            <w:tcW w:w="1361" w:type="dxa"/>
            <w:vAlign w:val="center"/>
          </w:tcPr>
          <w:p>
            <w:pPr>
              <w:pStyle w:val="13"/>
            </w:pPr>
            <w:r>
              <w:t>383822.00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18031526.11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18031526.11</w:t>
            </w:r>
          </w:p>
        </w:tc>
        <w:tc>
          <w:tcPr>
            <w:tcW w:w="1474" w:type="dxa"/>
            <w:vAlign w:val="center"/>
          </w:tcPr>
          <w:p>
            <w:pPr>
              <w:pStyle w:val="13"/>
            </w:pPr>
            <w:r>
              <w:t>18031526.11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18031526.11</w:t>
            </w:r>
          </w:p>
        </w:tc>
        <w:tc>
          <w:tcPr>
            <w:tcW w:w="3402" w:type="dxa"/>
            <w:vAlign w:val="center"/>
          </w:tcPr>
          <w:p>
            <w:pPr>
              <w:pStyle w:val="16"/>
            </w:pPr>
            <w:r>
              <w:t>本年支出合计</w:t>
            </w:r>
          </w:p>
        </w:tc>
        <w:tc>
          <w:tcPr>
            <w:tcW w:w="1474" w:type="dxa"/>
            <w:vAlign w:val="center"/>
          </w:tcPr>
          <w:p>
            <w:pPr>
              <w:pStyle w:val="17"/>
            </w:pPr>
            <w:r>
              <w:t>18031526.11</w:t>
            </w:r>
          </w:p>
        </w:tc>
        <w:tc>
          <w:tcPr>
            <w:tcW w:w="1474" w:type="dxa"/>
            <w:vAlign w:val="center"/>
          </w:tcPr>
          <w:p>
            <w:pPr>
              <w:pStyle w:val="17"/>
            </w:pPr>
            <w:r>
              <w:t>18031526.11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18031526.11</w:t>
            </w:r>
          </w:p>
        </w:tc>
        <w:tc>
          <w:tcPr>
            <w:tcW w:w="3402" w:type="dxa"/>
            <w:vAlign w:val="center"/>
          </w:tcPr>
          <w:p>
            <w:pPr>
              <w:pStyle w:val="16"/>
            </w:pPr>
            <w:r>
              <w:t>支出总计</w:t>
            </w:r>
          </w:p>
        </w:tc>
        <w:tc>
          <w:tcPr>
            <w:tcW w:w="1474" w:type="dxa"/>
            <w:vAlign w:val="center"/>
          </w:tcPr>
          <w:p>
            <w:pPr>
              <w:pStyle w:val="17"/>
            </w:pPr>
            <w:r>
              <w:t>18031526.11</w:t>
            </w:r>
          </w:p>
        </w:tc>
        <w:tc>
          <w:tcPr>
            <w:tcW w:w="1474" w:type="dxa"/>
            <w:vAlign w:val="center"/>
          </w:tcPr>
          <w:p>
            <w:pPr>
              <w:pStyle w:val="17"/>
            </w:pPr>
            <w:r>
              <w:t>18031526.11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18031526.11</w:t>
            </w:r>
          </w:p>
        </w:tc>
        <w:tc>
          <w:tcPr>
            <w:tcW w:w="2551" w:type="dxa"/>
            <w:vAlign w:val="center"/>
          </w:tcPr>
          <w:p>
            <w:pPr>
              <w:pStyle w:val="17"/>
            </w:pPr>
            <w:r>
              <w:t>383822.00</w:t>
            </w:r>
          </w:p>
        </w:tc>
        <w:tc>
          <w:tcPr>
            <w:tcW w:w="2551" w:type="dxa"/>
            <w:vAlign w:val="center"/>
          </w:tcPr>
          <w:p>
            <w:pPr>
              <w:pStyle w:val="17"/>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18031526.11</w:t>
            </w:r>
          </w:p>
        </w:tc>
        <w:tc>
          <w:tcPr>
            <w:tcW w:w="2551" w:type="dxa"/>
            <w:vAlign w:val="center"/>
          </w:tcPr>
          <w:p>
            <w:pPr>
              <w:pStyle w:val="13"/>
            </w:pPr>
            <w:r>
              <w:t>383822.00</w:t>
            </w:r>
          </w:p>
        </w:tc>
        <w:tc>
          <w:tcPr>
            <w:tcW w:w="2551" w:type="dxa"/>
            <w:vAlign w:val="center"/>
          </w:tcPr>
          <w:p>
            <w:pPr>
              <w:pStyle w:val="13"/>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18031526.11</w:t>
            </w:r>
          </w:p>
        </w:tc>
        <w:tc>
          <w:tcPr>
            <w:tcW w:w="2551" w:type="dxa"/>
            <w:vAlign w:val="center"/>
          </w:tcPr>
          <w:p>
            <w:pPr>
              <w:pStyle w:val="13"/>
            </w:pPr>
            <w:r>
              <w:t>383822.00</w:t>
            </w:r>
          </w:p>
        </w:tc>
        <w:tc>
          <w:tcPr>
            <w:tcW w:w="2551" w:type="dxa"/>
            <w:vAlign w:val="center"/>
          </w:tcPr>
          <w:p>
            <w:pPr>
              <w:pStyle w:val="13"/>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2040202</w:t>
            </w:r>
          </w:p>
        </w:tc>
        <w:tc>
          <w:tcPr>
            <w:tcW w:w="4535" w:type="dxa"/>
            <w:vAlign w:val="center"/>
          </w:tcPr>
          <w:p>
            <w:pPr>
              <w:pStyle w:val="14"/>
            </w:pPr>
            <w:r>
              <w:t>一般行政管理事务</w:t>
            </w:r>
          </w:p>
        </w:tc>
        <w:tc>
          <w:tcPr>
            <w:tcW w:w="2551" w:type="dxa"/>
            <w:vAlign w:val="center"/>
          </w:tcPr>
          <w:p>
            <w:pPr>
              <w:pStyle w:val="13"/>
            </w:pPr>
            <w:r>
              <w:t>17647704.11</w:t>
            </w:r>
          </w:p>
        </w:tc>
        <w:tc>
          <w:tcPr>
            <w:tcW w:w="2551" w:type="dxa"/>
            <w:vAlign w:val="center"/>
          </w:tcPr>
          <w:p>
            <w:pPr>
              <w:pStyle w:val="13"/>
            </w:pPr>
          </w:p>
        </w:tc>
        <w:tc>
          <w:tcPr>
            <w:tcW w:w="2551" w:type="dxa"/>
            <w:vAlign w:val="center"/>
          </w:tcPr>
          <w:p>
            <w:pPr>
              <w:pStyle w:val="13"/>
            </w:pPr>
            <w:r>
              <w:t>17647704.11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383822.00</w:t>
            </w:r>
          </w:p>
        </w:tc>
        <w:tc>
          <w:tcPr>
            <w:tcW w:w="2551" w:type="dxa"/>
            <w:vAlign w:val="center"/>
          </w:tcPr>
          <w:p>
            <w:pPr>
              <w:pStyle w:val="13"/>
            </w:pPr>
            <w:r>
              <w:t>383822.00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383822.00</w:t>
            </w:r>
          </w:p>
        </w:tc>
        <w:tc>
          <w:tcPr>
            <w:tcW w:w="2551" w:type="dxa"/>
            <w:vAlign w:val="center"/>
          </w:tcPr>
          <w:p>
            <w:pPr>
              <w:pStyle w:val="17"/>
            </w:pPr>
          </w:p>
        </w:tc>
        <w:tc>
          <w:tcPr>
            <w:tcW w:w="2551" w:type="dxa"/>
            <w:vAlign w:val="center"/>
          </w:tcPr>
          <w:p>
            <w:pPr>
              <w:pStyle w:val="17"/>
            </w:pPr>
            <w:r>
              <w:t>383822.00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383822.00</w:t>
            </w:r>
          </w:p>
        </w:tc>
        <w:tc>
          <w:tcPr>
            <w:tcW w:w="2551" w:type="dxa"/>
            <w:vAlign w:val="center"/>
          </w:tcPr>
          <w:p>
            <w:pPr>
              <w:pStyle w:val="13"/>
            </w:pPr>
          </w:p>
        </w:tc>
        <w:tc>
          <w:tcPr>
            <w:tcW w:w="2551" w:type="dxa"/>
            <w:vAlign w:val="center"/>
          </w:tcPr>
          <w:p>
            <w:pPr>
              <w:pStyle w:val="13"/>
            </w:pPr>
            <w:r>
              <w:t>383822.00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21700.00</w:t>
            </w:r>
          </w:p>
        </w:tc>
        <w:tc>
          <w:tcPr>
            <w:tcW w:w="2551" w:type="dxa"/>
            <w:vAlign w:val="center"/>
          </w:tcPr>
          <w:p>
            <w:pPr>
              <w:pStyle w:val="13"/>
            </w:pPr>
          </w:p>
        </w:tc>
        <w:tc>
          <w:tcPr>
            <w:tcW w:w="2551" w:type="dxa"/>
            <w:vAlign w:val="center"/>
          </w:tcPr>
          <w:p>
            <w:pPr>
              <w:pStyle w:val="13"/>
            </w:pPr>
            <w:r>
              <w:t>21700.00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32812.00</w:t>
            </w:r>
          </w:p>
        </w:tc>
        <w:tc>
          <w:tcPr>
            <w:tcW w:w="2551" w:type="dxa"/>
            <w:vAlign w:val="center"/>
          </w:tcPr>
          <w:p>
            <w:pPr>
              <w:pStyle w:val="13"/>
            </w:pPr>
          </w:p>
        </w:tc>
        <w:tc>
          <w:tcPr>
            <w:tcW w:w="2551" w:type="dxa"/>
            <w:vAlign w:val="center"/>
          </w:tcPr>
          <w:p>
            <w:pPr>
              <w:pStyle w:val="13"/>
            </w:pPr>
            <w:r>
              <w:t>32812.00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31000.00</w:t>
            </w:r>
          </w:p>
        </w:tc>
        <w:tc>
          <w:tcPr>
            <w:tcW w:w="2551" w:type="dxa"/>
            <w:vAlign w:val="center"/>
          </w:tcPr>
          <w:p>
            <w:pPr>
              <w:pStyle w:val="13"/>
            </w:pPr>
          </w:p>
        </w:tc>
        <w:tc>
          <w:tcPr>
            <w:tcW w:w="2551" w:type="dxa"/>
            <w:vAlign w:val="center"/>
          </w:tcPr>
          <w:p>
            <w:pPr>
              <w:pStyle w:val="13"/>
            </w:pPr>
            <w:r>
              <w:t>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1350.00</w:t>
            </w:r>
          </w:p>
        </w:tc>
        <w:tc>
          <w:tcPr>
            <w:tcW w:w="2551" w:type="dxa"/>
            <w:vAlign w:val="center"/>
          </w:tcPr>
          <w:p>
            <w:pPr>
              <w:pStyle w:val="13"/>
            </w:pPr>
          </w:p>
        </w:tc>
        <w:tc>
          <w:tcPr>
            <w:tcW w:w="2551"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45000.00</w:t>
            </w:r>
          </w:p>
        </w:tc>
        <w:tc>
          <w:tcPr>
            <w:tcW w:w="2551" w:type="dxa"/>
            <w:vAlign w:val="center"/>
          </w:tcPr>
          <w:p>
            <w:pPr>
              <w:pStyle w:val="13"/>
            </w:pPr>
          </w:p>
        </w:tc>
        <w:tc>
          <w:tcPr>
            <w:tcW w:w="2551"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171960.00</w:t>
            </w:r>
          </w:p>
        </w:tc>
        <w:tc>
          <w:tcPr>
            <w:tcW w:w="2551" w:type="dxa"/>
            <w:vAlign w:val="center"/>
          </w:tcPr>
          <w:p>
            <w:pPr>
              <w:pStyle w:val="13"/>
            </w:pPr>
          </w:p>
        </w:tc>
        <w:tc>
          <w:tcPr>
            <w:tcW w:w="2551" w:type="dxa"/>
            <w:vAlign w:val="center"/>
          </w:tcPr>
          <w:p>
            <w:pPr>
              <w:pStyle w:val="13"/>
            </w:pPr>
            <w:r>
              <w:t>171960.00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45000.00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45000.00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60000.00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60000.00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中国共产党玉田县委员会政法委员会本级2022年单位预算信息公开情况说明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按照《预算法》、《地方预决算公开操作规程》和《关于进一步推进预算公开工作的实施意见》规定，现将中国共产党玉田县委员会政法委员会本级2022年单位预算公开如下：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3"/>
      </w:pPr>
      <w:r>
        <w:rPr>
          <w:rFonts w:ascii="方正楷体_GBK" w:hAnsi="方正楷体_GBK" w:eastAsia="方正楷体_GBK" w:cs="方正楷体_GBK"/>
          <w:b/>
          <w:color w:val="000000"/>
          <w:sz w:val="32"/>
        </w:rPr>
        <w:t>单位职责：</w:t>
      </w:r>
      <w:r>
        <w:t>（一）全面深化平安创建，确保人民安居乐业。一要坚决维护国家安全和政治稳定。大力加强和改进情报信息工作，努力做到提前预知、提早预警、及时防范。明确斗争指向，严密防控和打击各种敌对势力、敌对分子的捣乱破坏、暴力恐怖袭击活动，及时发现、坚决制止敌对势力打着“维权”旗号插手人民内部矛盾，精确打击和有效防控“法轮功”、“全能神”等邪教组织违法犯罪活动。二要努力从源头预防和化解矛盾。继续推进社会稳定指数评价工作，全面落实重大项目社会稳定评估办法。认真开展矛盾纠纷排查调处活动，按照日排查、周调度、月分析的要求，坚持抓早抓小抓苗头，主动排查，超前防范，做到未动预知，异动先知。详查流动人口、外出打工人员和社会闲散人群等不确定对象的情况，防止“盲区”和“死角”。切实加强涉法涉诉信访工作，耐心细致地做好初信初访化解处置工作。继续抓好涉法涉诉信访积案化解攻坚活动，不息诉案件全部做到“三不欠、四到位”，省市督办案件全部按期办结。对长年上访的信访老户，要坚持解决问题和人员稳控两手抓。进一步完善“三位一体”调解体系，加强专业性调解组织建设。准确把握新形势下重大突发事件的规律和特点，制定完善应急预案，确保一旦发生重大突发事件、群体性事件，能够快速反应，在第一时间做好处置工作，防止事态扩大和蔓延。三要依法打击和惩治违法犯罪。大力实施情报信息主导警务战略，努力提升公安工作打击犯罪的核心战斗力。严厉打击整治各类违法犯罪活动。加强突出治安问题整治，加快构建社会化、网络化和信息化治安防控体系。积极开展群防群治和预警防范宣传活动，着力提升社会平安防范工作整体水平。四要努力提高社会管理科学化水平。深入推进网格化服务管理，加强综治视联网建设、信息系统建设，全县80%行政村全面实现“四个覆盖”。创新方法，丰富手段，将流动人口、特殊人群、两新组织、虚拟社会等领域的社会管理的重点难点问题逐步解决到位。紧紧围绕平安建设和社会管理，加强调查研究，在重点领域积极探索，实现突破，提升社会管理科学化水平。继续推行全县治安保险参保工作，推动严重精神障碍患者以奖代补和监护人责任险工作。为社会管理工作提供新模式。五要进一步完善城乡基层基础建设。要牢固树立固本强基的思想，坚持不懈地抓好基层综治办、法庭、派出所、司法所和检察室建设，搞好与乡镇（街道）综治维稳中心、群众工作站的衔接配合，切实形成工作合力。</w:t>
      </w:r>
    </w:p>
    <w:p>
      <w:pPr>
        <w:pStyle w:val="23"/>
      </w:pPr>
      <w:r>
        <w:t>（二）牢固树立法治理念，维护社会公平正义。一要规范司法行为，进一步提高执法办案水平。进一步完善执法办案程序规则、质量标准、制约办法等相关业务工作制度；努力实现执法程序流程化、执法裁量标准化、执法行为规范化。二要防堵工作漏洞，进一步完善执法监督机制。在加强党内执法监督上，全面落实“五细则一办法”，充分利用执法检查、案件评查等监督措施，加大责任倒查力度，特别是要将党委政法委执法监督职能与干部管理职能结合起来，切实发挥其督促作用。在加强社会监督上，大力推行阳光司法，逐步扩大警务公开、检务公开、审务公开的内容和范围，提高执法工作的透明度。要完善新闻发布制度，对群众关注的热点案件和重大工作措施及时公布，保障人民群众的知情权和监督权。</w:t>
      </w:r>
    </w:p>
    <w:p>
      <w:pPr>
        <w:pStyle w:val="23"/>
      </w:pPr>
      <w:r>
        <w:t>（三）加强政法队伍建设，全面提升整体素质。坚定理想信念，把学习宣传贯彻党的十八届六中全会精神作为贯穿全年的首要政治任务，制定全员培训计划，开展普学普训，确保覆盖到每一个科所庭队，每一名政法干警。建强信息化平台，推进网上办公办案，推动信息化从普及应用向深度建设、深度应用拓展。加强领导班子建设，深入实施领导干部思想政治素质提升工程，加强党性教育，推进政德建设，夯实思想基础，不断提高政法领导班子把握大局、率先垂范的能力，为全面提升政法工作水平提供保障。加强优秀干部的选拔培养，配齐配强各级领导班子，让过硬班子带出一流队伍，干出一流业绩。</w:t>
      </w:r>
    </w:p>
    <w:p>
      <w:pPr>
        <w:spacing w:before="0" w:after="0" w:line="240" w:lineRule="auto"/>
        <w:ind w:firstLine="640"/>
        <w:jc w:val="left"/>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中国共产党玉田县委员会政法委员会本级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中共玉田县委政法委员会</w:t>
      </w:r>
    </w:p>
    <w:p>
      <w:pPr>
        <w:pStyle w:val="32"/>
      </w:pPr>
      <w:r>
        <w:t>关于2022年度财政资金的预算说明</w:t>
      </w:r>
    </w:p>
    <w:p>
      <w:pPr>
        <w:pStyle w:val="32"/>
      </w:pPr>
      <w:r>
        <w:t>一、单位基本情况</w:t>
      </w:r>
    </w:p>
    <w:p>
      <w:pPr>
        <w:pStyle w:val="32"/>
      </w:pPr>
      <w:r>
        <w:t>我单位编制人数31人，其中：行政21人，事业编制10人。截止2021年11月初共有在职职工31（其中行政21人，事业7人,借调3人）。单位车辆编制1辆，现有车辆1辆。</w:t>
      </w:r>
    </w:p>
    <w:p>
      <w:pPr>
        <w:pStyle w:val="32"/>
      </w:pPr>
      <w:r>
        <w:t>二、支出安排情况</w:t>
      </w:r>
    </w:p>
    <w:p>
      <w:pPr>
        <w:pStyle w:val="32"/>
      </w:pPr>
      <w:r>
        <w:t>2020年单位预算全部支出1903.40233万元。</w:t>
      </w:r>
    </w:p>
    <w:p>
      <w:pPr>
        <w:pStyle w:val="32"/>
      </w:pPr>
      <w:r>
        <w:t>一是公用经费支出38.3822万元。含办公费21700元，办公电话8部10400元（另含财政集中支付业务专网服务费2400元），住宅电话2412元（崔凤明，县委常委、政法委书记，副处，享受月57元补助；王志强，县委政法委常务副书记，正科，享受月48元补助；杨立臣，县委政法委副书记、正科，享受月48元补助；王玉昆，县委政法委副书记、正科，享受月48元补助）；移动电话20000元（副处1名5000元，正科级单位3000元，特岗部门12000元），公务用车运行维护费45000元，用于单位一辆轿车的燃油、汽修、保险和保养等；差旅费31000元,培训费1350元,公务交通补贴171960元,印刷费20000元(用于印制红字头和上级要求的宣传单），公务接待费60000元。</w:t>
      </w:r>
    </w:p>
    <w:p>
      <w:pPr>
        <w:pStyle w:val="32"/>
      </w:pPr>
      <w:r>
        <w:t>二是专项项目15个，项目经费共1865.02014万元。</w:t>
      </w:r>
    </w:p>
    <w:p>
      <w:pPr>
        <w:pStyle w:val="32"/>
      </w:pPr>
      <w:r>
        <w:t>(一)社会治安综合治理专项事业费35万元：主要用于综治基础设施建设、基层创安、法制宣传、表彰奖励、典型示范等项综治建设,并用于玉田县矛盾纠纷以案定补，每调解一起案件奖励调解员100元。</w:t>
      </w:r>
    </w:p>
    <w:p>
      <w:pPr>
        <w:pStyle w:val="32"/>
      </w:pPr>
      <w:r>
        <w:t>　　(二)涉法涉诉信访救助基金77.9万元：为及时有效的化解各类涉法信访问题，保证信访救助政策的延续性，彻底息诉一批信访积案。</w:t>
      </w:r>
    </w:p>
    <w:p>
      <w:pPr>
        <w:pStyle w:val="32"/>
      </w:pPr>
      <w:r>
        <w:t>(三)联合接访中心经费2万元，按上级要求，我委于2010年3月成立涉法涉诉联合接访中心，每年需支出费用含办公费10000元，接访差旅费10000元。</w:t>
      </w:r>
    </w:p>
    <w:p>
      <w:pPr>
        <w:pStyle w:val="32"/>
      </w:pPr>
      <w:r>
        <w:t>(四)社会邪教防范处理工作经费3万元，政法委负责全县法轮功及邪教防范工作,经费应列入本级财政预算。每年需支出费用含办公费20000元，反邪教宣传印刷费10000元。</w:t>
      </w:r>
    </w:p>
    <w:p>
      <w:pPr>
        <w:pStyle w:val="32"/>
      </w:pPr>
      <w:r>
        <w:t>(五)稳定工作经费3万元：主要用于重点时期对特殊群体稳控、赴省进京接访费用。</w:t>
      </w:r>
    </w:p>
    <w:p>
      <w:pPr>
        <w:pStyle w:val="32"/>
      </w:pPr>
      <w:r>
        <w:t>(六)扫黑除恶专项斗争工作经费10万元，用于县扫黑办宣传及办公经费。对涉黑案件实行分组督办制度，对群众关注度高、社会影响恶劣的黑恶势力犯罪案件，依法采取措施.</w:t>
      </w:r>
    </w:p>
    <w:p>
      <w:pPr>
        <w:pStyle w:val="32"/>
      </w:pPr>
      <w:r>
        <w:t>(七)铁路护路工作经费20.3072万元，主要用于对铁路沿线周边的护坡、桥涵的日常维修护理及各重点时期（特别是暑期）安全保卫工作，人员经费，护路办现有护路队员7人，人员工资、保险(医疗、养老、失业、工伤、等)约需资金3358元*12月*7人=282072元。</w:t>
      </w:r>
    </w:p>
    <w:p>
      <w:pPr>
        <w:pStyle w:val="32"/>
      </w:pPr>
      <w:r>
        <w:t xml:space="preserve">(八)治安保险承保资金150万元：据统计，我县农户约15万户，城镇户6万户，共21万户（70.3万人口），经与保险公司协商，按每户10元标准投保15万农户治安保险（需保费150万元），保险公司即可承保全县21万户每户10元的保险标的。2020年计划缴纳治安保险费150万元。 </w:t>
      </w:r>
    </w:p>
    <w:p>
      <w:pPr>
        <w:pStyle w:val="32"/>
      </w:pPr>
      <w:r>
        <w:t>(九)严重精神障碍患者监护人以奖代补和责任险44.908万元:(1)按照唐综治办[2016]6号文件要求,对我县符合条件的纳入公安系统的80名严重精神障碍患者监护人发放以奖代补资金,按2400元/年/人,计19.2万元;(2)按照省市要求对我县登记在册的3117名严重精神疾病患者监护人全部落实监护人责任险。其中，386名三级以上的具有暴力倾向的重症精神障碍患者按100元/人标准承保，其余2731名其他精神疾病患者按80元/人标准承保，计25.708万元。</w:t>
      </w:r>
    </w:p>
    <w:p>
      <w:pPr>
        <w:pStyle w:val="32"/>
      </w:pPr>
      <w:r>
        <w:t>(十)政法网光纤传输租赁费22.8万元：我县政法网节点95个，每年每节点需支付玉田县广电公司2400元，共计228000元。</w:t>
      </w:r>
    </w:p>
    <w:p>
      <w:pPr>
        <w:pStyle w:val="32"/>
      </w:pPr>
      <w:r>
        <w:t>(十一) 政法三、四级网升级扩容改造项目经费60.211111万元：全市政法网升级扩容改造项目在2019年9月30日前基本结束，按合同约定，设备安装终验合格后30日内支付项目合同总数额的40%，第二年付40%，第三年付15%,第四年付5%。市政法委要求各县在将分担费用上缴至全市统一账号，按合同约定，市政法委要求各县将2022年需支付部分万元纳入年度预算。</w:t>
      </w:r>
    </w:p>
    <w:p>
      <w:pPr>
        <w:pStyle w:val="32"/>
      </w:pPr>
      <w:r>
        <w:t>(十二)是综治信息化系统建设经费41.5824万元:</w:t>
      </w:r>
    </w:p>
    <w:p>
      <w:pPr>
        <w:pStyle w:val="32"/>
      </w:pPr>
      <w:r>
        <w:t>(1)综治信息系统（9+X信息系统）建设经费12.5664万元： (1)目前我县已接入综治系统手机终端217部，每个终端手机每月通讯费41元（含10元综治APP定向流量）,计全年需10.6764万元;（2）目前我县PC端账号有35个,每月每个账号需向运营商支付综治信息化系统使用费45元,计全年需1.89万元。</w:t>
      </w:r>
    </w:p>
    <w:p>
      <w:pPr>
        <w:pStyle w:val="32"/>
      </w:pPr>
      <w:r>
        <w:t>(2) 网格化管理手机客户端软件服务费29.016万元。市委办公室、市政府办公室《关于加强全市网格化管理和网格员队伍建设的指导意见》中“专（兼）职网格员手持信息采集终端或手机APP要实现全覆盖”要求，拟为我县网格员配备“9+X”综治信息系统手机APP，申请资金如下：一、采购数量。目前，全县共有750个行政村，155个居民小区。根据网格划分办法，拟将每个行政村和居民小区划分为一个网格单元，初步共划分905个网格单元。2017年为推进综治规范化建设，我委按照市委要求配备了手机采集终端217部。下一步，我委准备分两期为网格员配齐综治信息采集终端，第一期为全县750个村和87个有物业管理的小区配备620个“9+X”综治信息系统手机APP。二、申请资金。为节省财政开支，经我委研究，为620个网格员每人配备1个手机卡号，并支付手机APP日常运营所产生服务费。经测算，每个手机APP每月服务费用为39元， 620个网格一年费用共计290160元。</w:t>
      </w:r>
    </w:p>
    <w:p>
      <w:pPr>
        <w:pStyle w:val="32"/>
      </w:pPr>
      <w:r>
        <w:t>(十三)“雪亮工程”建设政府购买服务项目1196.02万元:经县委书记及县政府有关领导批示，同意建设。经县财政局委托第三方对设备及施工费用概算进行了公开招标采购，最终审定价6456.1元，分六年期付款每年1076.0167万元。另包括工程监理费120万元（单独招标）。特申请， “雪亮工程”财政预算资金1196.02万元。</w:t>
      </w:r>
    </w:p>
    <w:p>
      <w:pPr>
        <w:pStyle w:val="32"/>
      </w:pPr>
      <w:r>
        <w:t>(十四) 见义勇为基金10万元。</w:t>
      </w:r>
    </w:p>
    <w:p>
      <w:pPr>
        <w:pStyle w:val="32"/>
      </w:pPr>
      <w:r>
        <w:t>(十五) 暑期警卫保障经费10万元。</w:t>
      </w:r>
    </w:p>
    <w:p>
      <w:pPr>
        <w:pStyle w:val="32"/>
      </w:pPr>
      <w:r>
        <w:t>按照省暑期工作领导小组关于确保暑期通道执勤规范要求，拟为全体参与执行警卫任务人员统一配备服装，预计支出服装费6万元；拟为沿线乡镇排水费和剪枝费4万元。</w:t>
      </w:r>
    </w:p>
    <w:p>
      <w:pPr>
        <w:pStyle w:val="32"/>
      </w:pPr>
      <w:r>
        <w:t>（十六）疫情期间重点部位视频监控联网资金32.4625万元。</w:t>
      </w:r>
    </w:p>
    <w:p>
      <w:pPr>
        <w:pStyle w:val="32"/>
      </w:pPr>
      <w:r>
        <w:t>由于目前我县疫情防控的严峻形势，按县防控办要求，新冠肺炎疫情防控隔离点新增了3个隔离场所（易居宾馆、暖泉河宾馆、仁和宾馆）。根据市防控指示，需要在新增的疫情隔离点建设高清视频监控系统，联入我县雪亮工程视频图像信息共享平台，供市县两级疫情防控指挥部随时调用。经县委政法委、县公安局、县卫健局3家共同对3个酒店实地测算，易居宾馆需安装31个监控点位，暖泉河宾馆需安装32个监控点位，仁和宾馆实地测算，需安装43个监控点位。,3个新增疫情防控隔离点所用设备、辅材和安装费用共需资金324625元，资金由政法委统一拨付。</w:t>
      </w:r>
    </w:p>
    <w:p>
      <w:pPr>
        <w:pStyle w:val="32"/>
      </w:pPr>
      <w:r>
        <w:t>2022年11月18日</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公用经费支出38.3822万元。含办公费21700元，办公电话8部10400元（另含财政集中支付业务专网服务费2400元），住宅电话2412元（崔凤明，县委常委、政法委书记，副处，享受月57元补助；王志强，县委政法委常务副书记，正科，享受月48元补助；杨立臣，县委政法委副书记、正科，享受月48元补助；王玉昆，县委政法委副书记、正科，享受月48元补助）；移动电话20000元（副处1名5000元，正科级单位3000元，特岗部门12000元），公务用车运行维护费45000元，用于单位一辆轿车的燃油、汽修、保险和保养等；差旅费31000元,培训费1350元,公务交通补贴171960元,印刷费20000元(用于印制红字头和上级要求的宣传单），公务接待费60000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三公经费支出等于上年支出，包括公务用车运行维护费45000元，公务接待费60000元。</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1、见义勇为基金绩效目标表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1.目标内容1用于见义勇为人员的奖励</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帮扶见义勇为人次</w:t>
            </w:r>
          </w:p>
        </w:tc>
        <w:tc>
          <w:tcPr>
            <w:tcW w:w="2835" w:type="dxa"/>
            <w:vAlign w:val="center"/>
          </w:tcPr>
          <w:p>
            <w:pPr>
              <w:pStyle w:val="28"/>
            </w:pPr>
            <w:r>
              <w:t>帮扶见义勇为人次</w:t>
            </w:r>
          </w:p>
        </w:tc>
        <w:tc>
          <w:tcPr>
            <w:tcW w:w="2551" w:type="dxa"/>
            <w:vAlign w:val="center"/>
          </w:tcPr>
          <w:p>
            <w:pPr>
              <w:pStyle w:val="28"/>
            </w:pPr>
            <w:r>
              <w:t>≥3人</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奖励抚恤慰问人次</w:t>
            </w:r>
          </w:p>
        </w:tc>
        <w:tc>
          <w:tcPr>
            <w:tcW w:w="2835" w:type="dxa"/>
            <w:vAlign w:val="center"/>
          </w:tcPr>
          <w:p>
            <w:pPr>
              <w:pStyle w:val="28"/>
            </w:pPr>
            <w:r>
              <w:t>奖励、抚恤、慰问省以上表彰的见义勇为人员人次</w:t>
            </w:r>
          </w:p>
        </w:tc>
        <w:tc>
          <w:tcPr>
            <w:tcW w:w="2551" w:type="dxa"/>
            <w:vAlign w:val="center"/>
          </w:tcPr>
          <w:p>
            <w:pPr>
              <w:pStyle w:val="28"/>
            </w:pPr>
            <w:r>
              <w:t>≥3人</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资金拨付率%</w:t>
            </w:r>
          </w:p>
        </w:tc>
        <w:tc>
          <w:tcPr>
            <w:tcW w:w="2835" w:type="dxa"/>
            <w:vAlign w:val="center"/>
          </w:tcPr>
          <w:p>
            <w:pPr>
              <w:pStyle w:val="28"/>
            </w:pPr>
            <w:r>
              <w:t>资金拨付及时</w:t>
            </w:r>
          </w:p>
        </w:tc>
        <w:tc>
          <w:tcPr>
            <w:tcW w:w="2551" w:type="dxa"/>
            <w:vAlign w:val="center"/>
          </w:tcPr>
          <w:p>
            <w:pPr>
              <w:pStyle w:val="28"/>
            </w:pPr>
            <w:r>
              <w:t>及时</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人均发放水平</w:t>
            </w:r>
          </w:p>
        </w:tc>
        <w:tc>
          <w:tcPr>
            <w:tcW w:w="2835" w:type="dxa"/>
            <w:vAlign w:val="center"/>
          </w:tcPr>
          <w:p>
            <w:pPr>
              <w:pStyle w:val="28"/>
            </w:pPr>
            <w:r>
              <w:t>人均发放水平</w:t>
            </w:r>
          </w:p>
        </w:tc>
        <w:tc>
          <w:tcPr>
            <w:tcW w:w="2551" w:type="dxa"/>
            <w:vAlign w:val="center"/>
          </w:tcPr>
          <w:p>
            <w:pPr>
              <w:pStyle w:val="28"/>
            </w:pPr>
            <w:r>
              <w:t>达标</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见义勇为人员奖励、帮扶覆盖率(</w:t>
            </w:r>
          </w:p>
        </w:tc>
        <w:tc>
          <w:tcPr>
            <w:tcW w:w="2835" w:type="dxa"/>
            <w:vAlign w:val="center"/>
          </w:tcPr>
          <w:p>
            <w:pPr>
              <w:pStyle w:val="28"/>
            </w:pPr>
            <w:r>
              <w:t>见义勇为人员奖励、帮扶覆盖率(%)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立功奖励慰问款发放率</w:t>
            </w:r>
          </w:p>
        </w:tc>
        <w:tc>
          <w:tcPr>
            <w:tcW w:w="2835" w:type="dxa"/>
            <w:vAlign w:val="center"/>
          </w:tcPr>
          <w:p>
            <w:pPr>
              <w:pStyle w:val="28"/>
            </w:pPr>
            <w:r>
              <w:t>立功奖励慰问款发放率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确保国家惠民政策落实，促进社会</w:t>
            </w:r>
          </w:p>
        </w:tc>
        <w:tc>
          <w:tcPr>
            <w:tcW w:w="2835" w:type="dxa"/>
            <w:vAlign w:val="center"/>
          </w:tcPr>
          <w:p>
            <w:pPr>
              <w:pStyle w:val="28"/>
            </w:pPr>
            <w:r>
              <w:t>确保国家惠民政策落实，促进社会公平正义，改善民生</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2、联合接访中心经费绩效目标表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1.目标内容1化解信访案件</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有效化解涉检信访矛盾率（%）</w:t>
            </w:r>
          </w:p>
        </w:tc>
        <w:tc>
          <w:tcPr>
            <w:tcW w:w="2835" w:type="dxa"/>
            <w:vAlign w:val="center"/>
          </w:tcPr>
          <w:p>
            <w:pPr>
              <w:pStyle w:val="28"/>
            </w:pPr>
            <w:r>
              <w:t>有效化解涉检信访矛盾率（%）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信访事项按期结案率</w:t>
            </w:r>
          </w:p>
        </w:tc>
        <w:tc>
          <w:tcPr>
            <w:tcW w:w="2835" w:type="dxa"/>
            <w:vAlign w:val="center"/>
          </w:tcPr>
          <w:p>
            <w:pPr>
              <w:pStyle w:val="28"/>
            </w:pPr>
            <w:r>
              <w:t>信访事项按期结案率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信访事项受理及时率</w:t>
            </w:r>
          </w:p>
        </w:tc>
        <w:tc>
          <w:tcPr>
            <w:tcW w:w="2835" w:type="dxa"/>
            <w:vAlign w:val="center"/>
          </w:tcPr>
          <w:p>
            <w:pPr>
              <w:pStyle w:val="28"/>
            </w:pPr>
            <w:r>
              <w:t>信访事项受理及时率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督办信访案件数</w:t>
            </w:r>
          </w:p>
        </w:tc>
        <w:tc>
          <w:tcPr>
            <w:tcW w:w="2835" w:type="dxa"/>
            <w:vAlign w:val="center"/>
          </w:tcPr>
          <w:p>
            <w:pPr>
              <w:pStyle w:val="28"/>
            </w:pPr>
            <w:r>
              <w:t>督办信访案件数</w:t>
            </w:r>
          </w:p>
        </w:tc>
        <w:tc>
          <w:tcPr>
            <w:tcW w:w="2551" w:type="dxa"/>
            <w:vAlign w:val="center"/>
          </w:tcPr>
          <w:p>
            <w:pPr>
              <w:pStyle w:val="28"/>
            </w:pPr>
            <w:r>
              <w:t>≥30个</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信访转诉案件结案率</w:t>
            </w:r>
          </w:p>
        </w:tc>
        <w:tc>
          <w:tcPr>
            <w:tcW w:w="2835" w:type="dxa"/>
            <w:vAlign w:val="center"/>
          </w:tcPr>
          <w:p>
            <w:pPr>
              <w:pStyle w:val="28"/>
            </w:pPr>
            <w:r>
              <w:t>信访转诉案件结案率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化解矛盾率(%)</w:t>
            </w:r>
          </w:p>
        </w:tc>
        <w:tc>
          <w:tcPr>
            <w:tcW w:w="2835" w:type="dxa"/>
            <w:vAlign w:val="center"/>
          </w:tcPr>
          <w:p>
            <w:pPr>
              <w:pStyle w:val="28"/>
            </w:pPr>
            <w:r>
              <w:t>化解矛盾率(%)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群众投诉下降率（%）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≥30个</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3、社会邪教防范处理工作经费绩效目标表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1.目标内容1全力做好县内各种重大活动安保工作，深挖打击邪教顽固分子，教育转化重点人员，确保社会稳定。</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安置帮教率</w:t>
            </w:r>
          </w:p>
        </w:tc>
        <w:tc>
          <w:tcPr>
            <w:tcW w:w="2835" w:type="dxa"/>
            <w:vAlign w:val="center"/>
          </w:tcPr>
          <w:p>
            <w:pPr>
              <w:pStyle w:val="28"/>
            </w:pPr>
            <w:r>
              <w:t>安置帮教率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重点人口管控率（%）</w:t>
            </w:r>
          </w:p>
        </w:tc>
        <w:tc>
          <w:tcPr>
            <w:tcW w:w="2835" w:type="dxa"/>
            <w:vAlign w:val="center"/>
          </w:tcPr>
          <w:p>
            <w:pPr>
              <w:pStyle w:val="28"/>
            </w:pPr>
            <w:r>
              <w:t>重点人口管控率（%）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按期完成率</w:t>
            </w:r>
          </w:p>
        </w:tc>
        <w:tc>
          <w:tcPr>
            <w:tcW w:w="2835" w:type="dxa"/>
            <w:vAlign w:val="center"/>
          </w:tcPr>
          <w:p>
            <w:pPr>
              <w:pStyle w:val="28"/>
            </w:pPr>
            <w:r>
              <w:t>按期完成率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经费使用率(%)</w:t>
            </w:r>
          </w:p>
        </w:tc>
        <w:tc>
          <w:tcPr>
            <w:tcW w:w="2835" w:type="dxa"/>
            <w:vAlign w:val="center"/>
          </w:tcPr>
          <w:p>
            <w:pPr>
              <w:pStyle w:val="28"/>
            </w:pPr>
            <w:r>
              <w:t>经费使用率(%)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安置帮教率(%)</w:t>
            </w:r>
          </w:p>
        </w:tc>
        <w:tc>
          <w:tcPr>
            <w:tcW w:w="2835" w:type="dxa"/>
            <w:vAlign w:val="center"/>
          </w:tcPr>
          <w:p>
            <w:pPr>
              <w:pStyle w:val="28"/>
            </w:pPr>
            <w:r>
              <w:t>安置帮教率(%)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公众安全感指数(%)</w:t>
            </w:r>
          </w:p>
        </w:tc>
        <w:tc>
          <w:tcPr>
            <w:tcW w:w="2835" w:type="dxa"/>
            <w:vAlign w:val="center"/>
          </w:tcPr>
          <w:p>
            <w:pPr>
              <w:pStyle w:val="28"/>
            </w:pPr>
            <w:r>
              <w:t>公众安全感指数(%)</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社会帮教率</w:t>
            </w:r>
          </w:p>
        </w:tc>
        <w:tc>
          <w:tcPr>
            <w:tcW w:w="2835" w:type="dxa"/>
            <w:vAlign w:val="center"/>
          </w:tcPr>
          <w:p>
            <w:pPr>
              <w:pStyle w:val="28"/>
            </w:pPr>
            <w:r>
              <w:t>社会帮教率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市民满意度</w:t>
            </w:r>
          </w:p>
        </w:tc>
        <w:tc>
          <w:tcPr>
            <w:tcW w:w="2835" w:type="dxa"/>
            <w:vAlign w:val="center"/>
          </w:tcPr>
          <w:p>
            <w:pPr>
              <w:pStyle w:val="28"/>
            </w:pPr>
            <w:r>
              <w:t>市民满意度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4、社会治安综合治理专项事业费绩效目标表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1.目标内容1落实社会治安综合治理专项事业费，主要用于综治基础设施建设、基层创安、法制宣传、表彰奖励、典型示范等项综治建设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指导市域社会治理试点工作数</w:t>
            </w:r>
          </w:p>
        </w:tc>
        <w:tc>
          <w:tcPr>
            <w:tcW w:w="2835" w:type="dxa"/>
            <w:vAlign w:val="center"/>
          </w:tcPr>
          <w:p>
            <w:pPr>
              <w:pStyle w:val="28"/>
            </w:pPr>
            <w:r>
              <w:t>指导市域社会治理试点工作数</w:t>
            </w:r>
          </w:p>
        </w:tc>
        <w:tc>
          <w:tcPr>
            <w:tcW w:w="2551" w:type="dxa"/>
            <w:vAlign w:val="center"/>
          </w:tcPr>
          <w:p>
            <w:pPr>
              <w:pStyle w:val="28"/>
            </w:pPr>
            <w:r>
              <w:t>≥10个</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其他各项综合实务工作完成率</w:t>
            </w:r>
          </w:p>
        </w:tc>
        <w:tc>
          <w:tcPr>
            <w:tcW w:w="2835" w:type="dxa"/>
            <w:vAlign w:val="center"/>
          </w:tcPr>
          <w:p>
            <w:pPr>
              <w:pStyle w:val="28"/>
            </w:pPr>
            <w:r>
              <w:t>其他各项综合实务工作完成率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项目按时完成率</w:t>
            </w:r>
          </w:p>
        </w:tc>
        <w:tc>
          <w:tcPr>
            <w:tcW w:w="2835" w:type="dxa"/>
            <w:vAlign w:val="center"/>
          </w:tcPr>
          <w:p>
            <w:pPr>
              <w:pStyle w:val="28"/>
            </w:pPr>
            <w:r>
              <w:t>项目按时完成率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成果对社会影响力</w:t>
            </w:r>
          </w:p>
        </w:tc>
        <w:tc>
          <w:tcPr>
            <w:tcW w:w="2835" w:type="dxa"/>
            <w:vAlign w:val="center"/>
          </w:tcPr>
          <w:p>
            <w:pPr>
              <w:pStyle w:val="28"/>
            </w:pPr>
            <w:r>
              <w:t>成果对社会影响力</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保障工作顺利进行，维护社会稳定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社会公众满意度（%）</w:t>
            </w:r>
          </w:p>
        </w:tc>
        <w:tc>
          <w:tcPr>
            <w:tcW w:w="2835" w:type="dxa"/>
            <w:vAlign w:val="center"/>
          </w:tcPr>
          <w:p>
            <w:pPr>
              <w:pStyle w:val="28"/>
            </w:pPr>
            <w:r>
              <w:t>社会公众满意度（%）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5、铁路护路工作经费绩效目标表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1.目标内容1主要用于对铁路沿线周边的护坡、桥涵的日常维修护理及各重点时期的安全保卫工作。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铁路沿线环境安全隐患排查</w:t>
            </w:r>
          </w:p>
        </w:tc>
        <w:tc>
          <w:tcPr>
            <w:tcW w:w="2835" w:type="dxa"/>
            <w:vAlign w:val="center"/>
          </w:tcPr>
          <w:p>
            <w:pPr>
              <w:pStyle w:val="28"/>
            </w:pPr>
            <w:r>
              <w:t>铁路沿线环境安全隐患排查</w:t>
            </w:r>
          </w:p>
        </w:tc>
        <w:tc>
          <w:tcPr>
            <w:tcW w:w="2551" w:type="dxa"/>
            <w:vAlign w:val="center"/>
          </w:tcPr>
          <w:p>
            <w:pPr>
              <w:pStyle w:val="28"/>
            </w:pPr>
            <w:r>
              <w:t>≥20次</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重大安保任务完成率(%)</w:t>
            </w:r>
          </w:p>
        </w:tc>
        <w:tc>
          <w:tcPr>
            <w:tcW w:w="2835" w:type="dxa"/>
            <w:vAlign w:val="center"/>
          </w:tcPr>
          <w:p>
            <w:pPr>
              <w:pStyle w:val="28"/>
            </w:pPr>
            <w:r>
              <w:t>重大安保任务完成率(%)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治安案件查处率</w:t>
            </w:r>
          </w:p>
        </w:tc>
        <w:tc>
          <w:tcPr>
            <w:tcW w:w="2835" w:type="dxa"/>
            <w:vAlign w:val="center"/>
          </w:tcPr>
          <w:p>
            <w:pPr>
              <w:pStyle w:val="28"/>
            </w:pPr>
            <w:r>
              <w:t>治安案件查处率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道路交通安保稳定保障</w:t>
            </w:r>
          </w:p>
        </w:tc>
        <w:tc>
          <w:tcPr>
            <w:tcW w:w="2835" w:type="dxa"/>
            <w:vAlign w:val="center"/>
          </w:tcPr>
          <w:p>
            <w:pPr>
              <w:pStyle w:val="28"/>
            </w:pPr>
            <w:r>
              <w:t>保障北戴河暑期道路交通安全稳定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铁路护路突发事件发生率(%)</w:t>
            </w:r>
          </w:p>
        </w:tc>
        <w:tc>
          <w:tcPr>
            <w:tcW w:w="2835" w:type="dxa"/>
            <w:vAlign w:val="center"/>
          </w:tcPr>
          <w:p>
            <w:pPr>
              <w:pStyle w:val="28"/>
            </w:pPr>
            <w:r>
              <w:t>铁路护路突发事件发生率(%)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保障铁路运营安全</w:t>
            </w:r>
          </w:p>
        </w:tc>
        <w:tc>
          <w:tcPr>
            <w:tcW w:w="2835" w:type="dxa"/>
            <w:vAlign w:val="center"/>
          </w:tcPr>
          <w:p>
            <w:pPr>
              <w:pStyle w:val="28"/>
            </w:pPr>
            <w:r>
              <w:t>保障铁路运营安全</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交通安全秩序</w:t>
            </w:r>
          </w:p>
        </w:tc>
        <w:tc>
          <w:tcPr>
            <w:tcW w:w="2835" w:type="dxa"/>
            <w:vAlign w:val="center"/>
          </w:tcPr>
          <w:p>
            <w:pPr>
              <w:pStyle w:val="28"/>
            </w:pPr>
            <w:r>
              <w:t>交通安全秩序</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6、稳定工作经费绩效目标表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1.目标内容1主要用于重点时期对特殊群体稳控、赴省进京接访费用。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有效化解涉检信访矛盾率（%）</w:t>
            </w:r>
          </w:p>
        </w:tc>
        <w:tc>
          <w:tcPr>
            <w:tcW w:w="2835" w:type="dxa"/>
            <w:vAlign w:val="center"/>
          </w:tcPr>
          <w:p>
            <w:pPr>
              <w:pStyle w:val="28"/>
            </w:pPr>
            <w:r>
              <w:t>有效化解涉检信访矛盾率（%）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信访事项按期结案率</w:t>
            </w:r>
          </w:p>
        </w:tc>
        <w:tc>
          <w:tcPr>
            <w:tcW w:w="2835" w:type="dxa"/>
            <w:vAlign w:val="center"/>
          </w:tcPr>
          <w:p>
            <w:pPr>
              <w:pStyle w:val="28"/>
            </w:pPr>
            <w:r>
              <w:t>信访事项按期结案率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信访事项受理及时率</w:t>
            </w:r>
          </w:p>
        </w:tc>
        <w:tc>
          <w:tcPr>
            <w:tcW w:w="2835" w:type="dxa"/>
            <w:vAlign w:val="center"/>
          </w:tcPr>
          <w:p>
            <w:pPr>
              <w:pStyle w:val="28"/>
            </w:pPr>
            <w:r>
              <w:t>信访事项受理及时率</w:t>
            </w:r>
          </w:p>
        </w:tc>
        <w:tc>
          <w:tcPr>
            <w:tcW w:w="2551" w:type="dxa"/>
            <w:vAlign w:val="center"/>
          </w:tcPr>
          <w:p>
            <w:pPr>
              <w:pStyle w:val="28"/>
            </w:pPr>
            <w:r>
              <w:t>≥95百分比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信访举报办结率</w:t>
            </w:r>
          </w:p>
        </w:tc>
        <w:tc>
          <w:tcPr>
            <w:tcW w:w="2835" w:type="dxa"/>
            <w:vAlign w:val="center"/>
          </w:tcPr>
          <w:p>
            <w:pPr>
              <w:pStyle w:val="28"/>
            </w:pPr>
            <w:r>
              <w:t>信访举报办结率</w:t>
            </w:r>
          </w:p>
        </w:tc>
        <w:tc>
          <w:tcPr>
            <w:tcW w:w="2551" w:type="dxa"/>
            <w:vAlign w:val="center"/>
          </w:tcPr>
          <w:p>
            <w:pPr>
              <w:pStyle w:val="28"/>
            </w:pPr>
            <w:r>
              <w:t>≥95百分比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信访转诉案件结案率</w:t>
            </w:r>
          </w:p>
        </w:tc>
        <w:tc>
          <w:tcPr>
            <w:tcW w:w="2835" w:type="dxa"/>
            <w:vAlign w:val="center"/>
          </w:tcPr>
          <w:p>
            <w:pPr>
              <w:pStyle w:val="28"/>
            </w:pPr>
            <w:r>
              <w:t>信访转诉案件结案率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社会稳定水平</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促进社会和谐稳定</w:t>
            </w:r>
          </w:p>
        </w:tc>
        <w:tc>
          <w:tcPr>
            <w:tcW w:w="2835" w:type="dxa"/>
            <w:vAlign w:val="center"/>
          </w:tcPr>
          <w:p>
            <w:pPr>
              <w:pStyle w:val="28"/>
            </w:pPr>
            <w:r>
              <w:t>促进社会和谐稳定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7、政法网光纤传输租赁费绩效目标表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1.目标内容1实现通过政法网的视频监控，远程培训，现场直播，信息发布等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运行监测网络运行维护</w:t>
            </w:r>
          </w:p>
        </w:tc>
        <w:tc>
          <w:tcPr>
            <w:tcW w:w="2835" w:type="dxa"/>
            <w:vAlign w:val="center"/>
          </w:tcPr>
          <w:p>
            <w:pPr>
              <w:pStyle w:val="28"/>
            </w:pPr>
            <w:r>
              <w:t>运行监测网络运行维护</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网络信息服务质量情况</w:t>
            </w:r>
          </w:p>
        </w:tc>
        <w:tc>
          <w:tcPr>
            <w:tcW w:w="2835" w:type="dxa"/>
            <w:vAlign w:val="center"/>
          </w:tcPr>
          <w:p>
            <w:pPr>
              <w:pStyle w:val="28"/>
            </w:pPr>
            <w:r>
              <w:t>网络信息服务质量情况</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网络连通率</w:t>
            </w:r>
          </w:p>
        </w:tc>
        <w:tc>
          <w:tcPr>
            <w:tcW w:w="2835" w:type="dxa"/>
            <w:vAlign w:val="center"/>
          </w:tcPr>
          <w:p>
            <w:pPr>
              <w:pStyle w:val="28"/>
            </w:pPr>
            <w:r>
              <w:t>网络连通率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网站等保及运维</w:t>
            </w:r>
          </w:p>
        </w:tc>
        <w:tc>
          <w:tcPr>
            <w:tcW w:w="2835" w:type="dxa"/>
            <w:vAlign w:val="center"/>
          </w:tcPr>
          <w:p>
            <w:pPr>
              <w:pStyle w:val="28"/>
            </w:pPr>
            <w:r>
              <w:t>网站等保及运维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政务信息查询和网上办事服务。</w:t>
            </w:r>
          </w:p>
        </w:tc>
        <w:tc>
          <w:tcPr>
            <w:tcW w:w="2835" w:type="dxa"/>
            <w:vAlign w:val="center"/>
          </w:tcPr>
          <w:p>
            <w:pPr>
              <w:pStyle w:val="28"/>
            </w:pPr>
            <w:r>
              <w:t>政务信息查询和网上办事服务。</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网络技术故障率</w:t>
            </w:r>
          </w:p>
        </w:tc>
        <w:tc>
          <w:tcPr>
            <w:tcW w:w="2835" w:type="dxa"/>
            <w:vAlign w:val="center"/>
          </w:tcPr>
          <w:p>
            <w:pPr>
              <w:pStyle w:val="28"/>
            </w:pPr>
            <w:r>
              <w:t>网络技术故障率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信息网络系统安全</w:t>
            </w:r>
          </w:p>
        </w:tc>
        <w:tc>
          <w:tcPr>
            <w:tcW w:w="2835" w:type="dxa"/>
            <w:vAlign w:val="center"/>
          </w:tcPr>
          <w:p>
            <w:pPr>
              <w:pStyle w:val="28"/>
            </w:pPr>
            <w:r>
              <w:t>信息网络系统安全</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网络安全稳定运行</w:t>
            </w:r>
          </w:p>
        </w:tc>
        <w:tc>
          <w:tcPr>
            <w:tcW w:w="2835" w:type="dxa"/>
            <w:vAlign w:val="center"/>
          </w:tcPr>
          <w:p>
            <w:pPr>
              <w:pStyle w:val="28"/>
            </w:pPr>
            <w:r>
              <w:t>网络安全稳定运行</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网络使用人员满意度</w:t>
            </w:r>
          </w:p>
        </w:tc>
        <w:tc>
          <w:tcPr>
            <w:tcW w:w="2835" w:type="dxa"/>
            <w:vAlign w:val="center"/>
          </w:tcPr>
          <w:p>
            <w:pPr>
              <w:pStyle w:val="28"/>
            </w:pPr>
            <w:r>
              <w:t>网络使用人员满意度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8、#“雪亮工程”购买服务建设项目绩效目标表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1.目标内容1在全县所有村、重点公共区域、重点道路、行业和领域范围内实现视频监控全覆盖。</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视频监控覆盖率</w:t>
            </w:r>
          </w:p>
        </w:tc>
        <w:tc>
          <w:tcPr>
            <w:tcW w:w="2835" w:type="dxa"/>
            <w:vAlign w:val="center"/>
          </w:tcPr>
          <w:p>
            <w:pPr>
              <w:pStyle w:val="28"/>
            </w:pPr>
            <w:r>
              <w:t>路口、主要路段视频监控覆盖及实际使用情况</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路口、主要路段视频监控率（%）</w:t>
            </w:r>
          </w:p>
        </w:tc>
        <w:tc>
          <w:tcPr>
            <w:tcW w:w="2835" w:type="dxa"/>
            <w:vAlign w:val="center"/>
          </w:tcPr>
          <w:p>
            <w:pPr>
              <w:pStyle w:val="28"/>
            </w:pPr>
            <w:r>
              <w:t>路口、主要路段视频监控率（%）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视频监控率</w:t>
            </w:r>
          </w:p>
        </w:tc>
        <w:tc>
          <w:tcPr>
            <w:tcW w:w="2835" w:type="dxa"/>
            <w:vAlign w:val="center"/>
          </w:tcPr>
          <w:p>
            <w:pPr>
              <w:pStyle w:val="28"/>
            </w:pPr>
            <w:r>
              <w:t>视频监控率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维修视频监控</w:t>
            </w:r>
          </w:p>
        </w:tc>
        <w:tc>
          <w:tcPr>
            <w:tcW w:w="2835" w:type="dxa"/>
            <w:vAlign w:val="center"/>
          </w:tcPr>
          <w:p>
            <w:pPr>
              <w:pStyle w:val="28"/>
            </w:pPr>
            <w:r>
              <w:t>维修视频监控</w:t>
            </w:r>
          </w:p>
        </w:tc>
        <w:tc>
          <w:tcPr>
            <w:tcW w:w="2551" w:type="dxa"/>
            <w:vAlign w:val="center"/>
          </w:tcPr>
          <w:p>
            <w:pPr>
              <w:pStyle w:val="28"/>
            </w:pPr>
            <w:r>
              <w:t>及时</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卡口监控覆盖率(%)</w:t>
            </w:r>
          </w:p>
        </w:tc>
        <w:tc>
          <w:tcPr>
            <w:tcW w:w="2835" w:type="dxa"/>
            <w:vAlign w:val="center"/>
          </w:tcPr>
          <w:p>
            <w:pPr>
              <w:pStyle w:val="28"/>
            </w:pPr>
            <w:r>
              <w:t>卡口监控覆盖率(%)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立体化社会治安防控体系覆盖率(</w:t>
            </w:r>
          </w:p>
        </w:tc>
        <w:tc>
          <w:tcPr>
            <w:tcW w:w="2835" w:type="dxa"/>
            <w:vAlign w:val="center"/>
          </w:tcPr>
          <w:p>
            <w:pPr>
              <w:pStyle w:val="28"/>
            </w:pPr>
            <w:r>
              <w:t>立体化社会治安防控体系覆盖率(%)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9、扫黑除恶专项斗争工作经费绩效目标表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1.黑恶势力违法犯罪特别是农村涉黑涉恶问题得到根本遏制</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整治率</w:t>
            </w:r>
            <w:r>
              <w:tab/>
            </w:r>
          </w:p>
        </w:tc>
        <w:tc>
          <w:tcPr>
            <w:tcW w:w="2835" w:type="dxa"/>
            <w:vAlign w:val="center"/>
          </w:tcPr>
          <w:p>
            <w:pPr>
              <w:pStyle w:val="28"/>
            </w:pPr>
            <w:r>
              <w:t>涉黑涉恶治安乱点得到全面整治</w:t>
            </w:r>
            <w:r>
              <w:tab/>
            </w:r>
          </w:p>
          <w:p>
            <w:pPr>
              <w:pStyle w:val="28"/>
            </w:pPr>
          </w:p>
        </w:tc>
        <w:tc>
          <w:tcPr>
            <w:tcW w:w="2551" w:type="dxa"/>
            <w:vAlign w:val="center"/>
          </w:tcPr>
          <w:p>
            <w:pPr>
              <w:pStyle w:val="28"/>
            </w:pPr>
            <w:r>
              <w:t>≥90百分比</w:t>
            </w:r>
          </w:p>
        </w:tc>
        <w:tc>
          <w:tcPr>
            <w:tcW w:w="2268" w:type="dxa"/>
            <w:vAlign w:val="center"/>
          </w:tcPr>
          <w:p>
            <w:pPr>
              <w:pStyle w:val="28"/>
            </w:pPr>
            <w:r>
              <w:t>省市文件</w:t>
            </w:r>
            <w:r>
              <w:tab/>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宣传活动次数</w:t>
            </w:r>
          </w:p>
        </w:tc>
        <w:tc>
          <w:tcPr>
            <w:tcW w:w="2835" w:type="dxa"/>
            <w:vAlign w:val="center"/>
          </w:tcPr>
          <w:p>
            <w:pPr>
              <w:pStyle w:val="28"/>
            </w:pPr>
            <w:r>
              <w:t>扫黑除恶宣传活动次数</w:t>
            </w:r>
          </w:p>
        </w:tc>
        <w:tc>
          <w:tcPr>
            <w:tcW w:w="2551" w:type="dxa"/>
            <w:vAlign w:val="center"/>
          </w:tcPr>
          <w:p>
            <w:pPr>
              <w:pStyle w:val="28"/>
            </w:pPr>
            <w:r>
              <w:t>≥10次</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任务完成及时率</w:t>
            </w:r>
          </w:p>
        </w:tc>
        <w:tc>
          <w:tcPr>
            <w:tcW w:w="2835" w:type="dxa"/>
            <w:vAlign w:val="center"/>
          </w:tcPr>
          <w:p>
            <w:pPr>
              <w:pStyle w:val="28"/>
            </w:pPr>
            <w:r>
              <w:t>任务完成及时率</w:t>
            </w:r>
          </w:p>
        </w:tc>
        <w:tc>
          <w:tcPr>
            <w:tcW w:w="2551" w:type="dxa"/>
            <w:vAlign w:val="center"/>
          </w:tcPr>
          <w:p>
            <w:pPr>
              <w:pStyle w:val="28"/>
            </w:pPr>
            <w:r>
              <w:t>≥95百分比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对社会发展带来的影响</w:t>
            </w:r>
          </w:p>
          <w:p>
            <w:pPr>
              <w:pStyle w:val="28"/>
            </w:pPr>
          </w:p>
          <w:p>
            <w:pPr>
              <w:pStyle w:val="28"/>
            </w:pPr>
          </w:p>
        </w:tc>
        <w:tc>
          <w:tcPr>
            <w:tcW w:w="2835" w:type="dxa"/>
            <w:vAlign w:val="center"/>
          </w:tcPr>
          <w:p>
            <w:pPr>
              <w:pStyle w:val="28"/>
            </w:pPr>
            <w:r>
              <w:t>对社会发展带来的影响</w:t>
            </w:r>
          </w:p>
          <w:p>
            <w:pPr>
              <w:pStyle w:val="28"/>
            </w:pPr>
          </w:p>
          <w:p>
            <w:pPr>
              <w:pStyle w:val="28"/>
            </w:pP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良好社会氛围</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p>
            <w:pPr>
              <w:pStyle w:val="28"/>
            </w:pPr>
          </w:p>
          <w:p>
            <w:pPr>
              <w:pStyle w:val="28"/>
            </w:pPr>
          </w:p>
        </w:tc>
        <w:tc>
          <w:tcPr>
            <w:tcW w:w="2835" w:type="dxa"/>
            <w:vAlign w:val="center"/>
          </w:tcPr>
          <w:p>
            <w:pPr>
              <w:pStyle w:val="28"/>
            </w:pPr>
            <w:r>
              <w:t>在全市产生的重要影响，得到广大受众的充分认可。</w:t>
            </w:r>
          </w:p>
          <w:p>
            <w:pPr>
              <w:pStyle w:val="28"/>
            </w:pPr>
          </w:p>
          <w:p>
            <w:pPr>
              <w:pStyle w:val="28"/>
            </w:pPr>
          </w:p>
        </w:tc>
        <w:tc>
          <w:tcPr>
            <w:tcW w:w="2551" w:type="dxa"/>
            <w:vAlign w:val="center"/>
          </w:tcPr>
          <w:p>
            <w:pPr>
              <w:pStyle w:val="28"/>
            </w:pPr>
            <w:r>
              <w:t>社会影响力</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10、涉法涉诉信访救助基金绩效目标表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1.及时有效的化解各类涉法信访问题</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有效化解涉检信访矛盾率（%）</w:t>
            </w:r>
          </w:p>
        </w:tc>
        <w:tc>
          <w:tcPr>
            <w:tcW w:w="2835" w:type="dxa"/>
            <w:vAlign w:val="center"/>
          </w:tcPr>
          <w:p>
            <w:pPr>
              <w:pStyle w:val="28"/>
            </w:pPr>
            <w:r>
              <w:t>有效化解涉检信访矛盾率（%）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信访事项按期结案率</w:t>
            </w:r>
          </w:p>
        </w:tc>
        <w:tc>
          <w:tcPr>
            <w:tcW w:w="2835" w:type="dxa"/>
            <w:vAlign w:val="center"/>
          </w:tcPr>
          <w:p>
            <w:pPr>
              <w:pStyle w:val="28"/>
            </w:pPr>
            <w:r>
              <w:t>信访事项按期结案率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信访事项受理及时率</w:t>
            </w:r>
          </w:p>
        </w:tc>
        <w:tc>
          <w:tcPr>
            <w:tcW w:w="2835" w:type="dxa"/>
            <w:vAlign w:val="center"/>
          </w:tcPr>
          <w:p>
            <w:pPr>
              <w:pStyle w:val="28"/>
            </w:pPr>
            <w:r>
              <w:t>信访事项受理及时率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信访转诉案件结案率</w:t>
            </w:r>
          </w:p>
        </w:tc>
        <w:tc>
          <w:tcPr>
            <w:tcW w:w="2835" w:type="dxa"/>
            <w:vAlign w:val="center"/>
          </w:tcPr>
          <w:p>
            <w:pPr>
              <w:pStyle w:val="28"/>
            </w:pPr>
            <w:r>
              <w:t>信访转诉案件结案率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使信访群众罢访</w:t>
            </w:r>
          </w:p>
        </w:tc>
        <w:tc>
          <w:tcPr>
            <w:tcW w:w="2835" w:type="dxa"/>
            <w:vAlign w:val="center"/>
          </w:tcPr>
          <w:p>
            <w:pPr>
              <w:pStyle w:val="28"/>
            </w:pPr>
            <w:r>
              <w:t>使用省级解难资金求助信访群众罢访率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保障工作顺利进行，维护社会稳定</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保持信访形势总体平稳</w:t>
            </w:r>
          </w:p>
        </w:tc>
        <w:tc>
          <w:tcPr>
            <w:tcW w:w="2835" w:type="dxa"/>
            <w:vAlign w:val="center"/>
          </w:tcPr>
          <w:p>
            <w:pPr>
              <w:pStyle w:val="28"/>
            </w:pPr>
            <w:r>
              <w:t>保持信访形势总体平稳可控</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11、暑期警卫保障经费绩效目标表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1.目标内容1对铁路沿线周边的护坡、桥涵的日常维修护理及各重点时期（特别是暑期）安全保卫工作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任务完成的及时性</w:t>
            </w:r>
          </w:p>
        </w:tc>
        <w:tc>
          <w:tcPr>
            <w:tcW w:w="2835" w:type="dxa"/>
            <w:vAlign w:val="center"/>
          </w:tcPr>
          <w:p>
            <w:pPr>
              <w:pStyle w:val="28"/>
            </w:pPr>
            <w:r>
              <w:t>及时完成安保工作</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重大安保任务完成率(%)</w:t>
            </w:r>
          </w:p>
        </w:tc>
        <w:tc>
          <w:tcPr>
            <w:tcW w:w="2835" w:type="dxa"/>
            <w:vAlign w:val="center"/>
          </w:tcPr>
          <w:p>
            <w:pPr>
              <w:pStyle w:val="28"/>
            </w:pPr>
            <w:r>
              <w:t>重大安保任务完成率(%)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费用支付正常确保正常运转</w:t>
            </w:r>
          </w:p>
        </w:tc>
        <w:tc>
          <w:tcPr>
            <w:tcW w:w="2835" w:type="dxa"/>
            <w:vAlign w:val="center"/>
          </w:tcPr>
          <w:p>
            <w:pPr>
              <w:pStyle w:val="28"/>
            </w:pPr>
            <w:r>
              <w:t>费用支付正常确保正常运转</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运行保障成本</w:t>
            </w:r>
          </w:p>
        </w:tc>
        <w:tc>
          <w:tcPr>
            <w:tcW w:w="2835" w:type="dxa"/>
            <w:vAlign w:val="center"/>
          </w:tcPr>
          <w:p>
            <w:pPr>
              <w:pStyle w:val="28"/>
            </w:pPr>
            <w:r>
              <w:t>运行保障成本</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铁路护路突发事件发生率(%)</w:t>
            </w:r>
          </w:p>
        </w:tc>
        <w:tc>
          <w:tcPr>
            <w:tcW w:w="2835" w:type="dxa"/>
            <w:vAlign w:val="center"/>
          </w:tcPr>
          <w:p>
            <w:pPr>
              <w:pStyle w:val="28"/>
            </w:pPr>
            <w:r>
              <w:t>铁路护路突发事件发生率(%)</w:t>
            </w:r>
          </w:p>
        </w:tc>
        <w:tc>
          <w:tcPr>
            <w:tcW w:w="2551" w:type="dxa"/>
            <w:vAlign w:val="center"/>
          </w:tcPr>
          <w:p>
            <w:pPr>
              <w:pStyle w:val="28"/>
            </w:pPr>
            <w:r>
              <w:t>≤10百分比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12、严重精神障碍患者监护人以奖代补和责任险绩效目标表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1.目标内容1创新立体化社会防控体系的要求，激励严重精神障碍患者监护人更好地履行看护管理责任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已管理的严重精神障碍患者人数</w:t>
            </w:r>
          </w:p>
        </w:tc>
        <w:tc>
          <w:tcPr>
            <w:tcW w:w="2835" w:type="dxa"/>
            <w:vAlign w:val="center"/>
          </w:tcPr>
          <w:p>
            <w:pPr>
              <w:pStyle w:val="28"/>
            </w:pPr>
            <w:r>
              <w:t>已管理的严重精神障碍患者人数</w:t>
            </w:r>
          </w:p>
        </w:tc>
        <w:tc>
          <w:tcPr>
            <w:tcW w:w="2551" w:type="dxa"/>
            <w:vAlign w:val="center"/>
          </w:tcPr>
          <w:p>
            <w:pPr>
              <w:pStyle w:val="28"/>
            </w:pPr>
            <w:r>
              <w:t>≥3117</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严重精神障碍患者在册管理率</w:t>
            </w:r>
          </w:p>
        </w:tc>
        <w:tc>
          <w:tcPr>
            <w:tcW w:w="2835" w:type="dxa"/>
            <w:vAlign w:val="center"/>
          </w:tcPr>
          <w:p>
            <w:pPr>
              <w:pStyle w:val="28"/>
            </w:pPr>
            <w:r>
              <w:t>严重精神障碍患者在册管理率</w:t>
            </w:r>
          </w:p>
        </w:tc>
        <w:tc>
          <w:tcPr>
            <w:tcW w:w="2551" w:type="dxa"/>
            <w:vAlign w:val="center"/>
          </w:tcPr>
          <w:p>
            <w:pPr>
              <w:pStyle w:val="28"/>
            </w:pPr>
            <w:r>
              <w:t>≥90</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按规定时限发放工资、缴纳保险</w:t>
            </w:r>
          </w:p>
        </w:tc>
        <w:tc>
          <w:tcPr>
            <w:tcW w:w="2835" w:type="dxa"/>
            <w:vAlign w:val="center"/>
          </w:tcPr>
          <w:p>
            <w:pPr>
              <w:pStyle w:val="28"/>
            </w:pPr>
            <w:r>
              <w:t>按规定时限缴纳保险</w:t>
            </w:r>
          </w:p>
        </w:tc>
        <w:tc>
          <w:tcPr>
            <w:tcW w:w="2551" w:type="dxa"/>
            <w:vAlign w:val="center"/>
          </w:tcPr>
          <w:p>
            <w:pPr>
              <w:pStyle w:val="28"/>
            </w:pPr>
            <w:r>
              <w:t>按时缴纳</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社会保险补贴人均标准</w:t>
            </w:r>
          </w:p>
        </w:tc>
        <w:tc>
          <w:tcPr>
            <w:tcW w:w="2835" w:type="dxa"/>
            <w:vAlign w:val="center"/>
          </w:tcPr>
          <w:p>
            <w:pPr>
              <w:pStyle w:val="28"/>
            </w:pPr>
            <w:r>
              <w:t>社会保险补贴人均标准</w:t>
            </w:r>
          </w:p>
        </w:tc>
        <w:tc>
          <w:tcPr>
            <w:tcW w:w="2551" w:type="dxa"/>
            <w:vAlign w:val="center"/>
          </w:tcPr>
          <w:p>
            <w:pPr>
              <w:pStyle w:val="28"/>
            </w:pPr>
            <w:r>
              <w:t>≥90</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治安、刑事案件下降率（%）</w:t>
            </w:r>
          </w:p>
        </w:tc>
        <w:tc>
          <w:tcPr>
            <w:tcW w:w="2835" w:type="dxa"/>
            <w:vAlign w:val="center"/>
          </w:tcPr>
          <w:p>
            <w:pPr>
              <w:pStyle w:val="28"/>
            </w:pPr>
            <w:r>
              <w:t>治安、刑事案件下降率（%）</w:t>
            </w:r>
          </w:p>
        </w:tc>
        <w:tc>
          <w:tcPr>
            <w:tcW w:w="2551" w:type="dxa"/>
            <w:vAlign w:val="center"/>
          </w:tcPr>
          <w:p>
            <w:pPr>
              <w:pStyle w:val="28"/>
            </w:pPr>
            <w:r>
              <w:t>≥90</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氛围良好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社会稳定</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13、疫情期间重点部位视频监控联网资金绩效目标表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1.目标内容1在新增的疫情隔离点建设高清视频监控系统，联入我县雪亮工程视频图像信息共享平台，供市县两级疫情防控指挥部随时调用。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视频监控覆盖率</w:t>
            </w:r>
          </w:p>
        </w:tc>
        <w:tc>
          <w:tcPr>
            <w:tcW w:w="2835" w:type="dxa"/>
            <w:vAlign w:val="center"/>
          </w:tcPr>
          <w:p>
            <w:pPr>
              <w:pStyle w:val="28"/>
            </w:pPr>
            <w:r>
              <w:t>路口、主要路段视频监控覆盖及实际使用情况</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监控设备完好率</w:t>
            </w:r>
          </w:p>
        </w:tc>
        <w:tc>
          <w:tcPr>
            <w:tcW w:w="2835" w:type="dxa"/>
            <w:vAlign w:val="center"/>
          </w:tcPr>
          <w:p>
            <w:pPr>
              <w:pStyle w:val="28"/>
            </w:pPr>
            <w:r>
              <w:t>监控设备完好率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监控设备等维护响应时间</w:t>
            </w:r>
          </w:p>
        </w:tc>
        <w:tc>
          <w:tcPr>
            <w:tcW w:w="2835" w:type="dxa"/>
            <w:vAlign w:val="center"/>
          </w:tcPr>
          <w:p>
            <w:pPr>
              <w:pStyle w:val="28"/>
            </w:pPr>
            <w:r>
              <w:t>监控设备等维护响应时间</w:t>
            </w:r>
          </w:p>
        </w:tc>
        <w:tc>
          <w:tcPr>
            <w:tcW w:w="2551" w:type="dxa"/>
            <w:vAlign w:val="center"/>
          </w:tcPr>
          <w:p>
            <w:pPr>
              <w:pStyle w:val="28"/>
            </w:pPr>
            <w:r>
              <w:t>及时</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监控设备正常工作的时间比例</w:t>
            </w:r>
          </w:p>
        </w:tc>
        <w:tc>
          <w:tcPr>
            <w:tcW w:w="2835" w:type="dxa"/>
            <w:vAlign w:val="center"/>
          </w:tcPr>
          <w:p>
            <w:pPr>
              <w:pStyle w:val="28"/>
            </w:pPr>
            <w:r>
              <w:t>监控设备正常工作的时间比例</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卡口监控覆盖率(%)</w:t>
            </w:r>
          </w:p>
        </w:tc>
        <w:tc>
          <w:tcPr>
            <w:tcW w:w="2835" w:type="dxa"/>
            <w:vAlign w:val="center"/>
          </w:tcPr>
          <w:p>
            <w:pPr>
              <w:pStyle w:val="28"/>
            </w:pPr>
            <w:r>
              <w:t>卡口监控覆盖率(%)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14、政法三四级网升级扩容改造项目绩效目标表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1.目标内容1建成综合控制系统、图像显示系统、多媒体音响系统、监控工位，综治中心机房及必备的中心网络设备等，满足日常管理维护和应急指挥的需要。</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乡镇网点覆盖率</w:t>
            </w:r>
          </w:p>
        </w:tc>
        <w:tc>
          <w:tcPr>
            <w:tcW w:w="2835" w:type="dxa"/>
            <w:vAlign w:val="center"/>
          </w:tcPr>
          <w:p>
            <w:pPr>
              <w:pStyle w:val="28"/>
            </w:pPr>
            <w:r>
              <w:t>乡镇网点覆盖率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全年网络可用率</w:t>
            </w:r>
          </w:p>
        </w:tc>
        <w:tc>
          <w:tcPr>
            <w:tcW w:w="2835" w:type="dxa"/>
            <w:vAlign w:val="center"/>
          </w:tcPr>
          <w:p>
            <w:pPr>
              <w:pStyle w:val="28"/>
            </w:pPr>
            <w:r>
              <w:t>全年网络可用率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网络连通率</w:t>
            </w:r>
          </w:p>
        </w:tc>
        <w:tc>
          <w:tcPr>
            <w:tcW w:w="2835" w:type="dxa"/>
            <w:vAlign w:val="center"/>
          </w:tcPr>
          <w:p>
            <w:pPr>
              <w:pStyle w:val="28"/>
            </w:pPr>
            <w:r>
              <w:t>网络连通率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网站等保及运维</w:t>
            </w:r>
          </w:p>
        </w:tc>
        <w:tc>
          <w:tcPr>
            <w:tcW w:w="2835" w:type="dxa"/>
            <w:vAlign w:val="center"/>
          </w:tcPr>
          <w:p>
            <w:pPr>
              <w:pStyle w:val="28"/>
            </w:pPr>
            <w:r>
              <w:t>网站等保及运维</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政务信息查询和网上办事服务。</w:t>
            </w:r>
          </w:p>
        </w:tc>
        <w:tc>
          <w:tcPr>
            <w:tcW w:w="2835" w:type="dxa"/>
            <w:vAlign w:val="center"/>
          </w:tcPr>
          <w:p>
            <w:pPr>
              <w:pStyle w:val="28"/>
            </w:pPr>
            <w:r>
              <w:t>政务信息查询和网上办事服务。</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网络技术故障率</w:t>
            </w:r>
          </w:p>
        </w:tc>
        <w:tc>
          <w:tcPr>
            <w:tcW w:w="2835" w:type="dxa"/>
            <w:vAlign w:val="center"/>
          </w:tcPr>
          <w:p>
            <w:pPr>
              <w:pStyle w:val="28"/>
            </w:pPr>
            <w:r>
              <w:t>网络技术故障率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网络安全稳定运行</w:t>
            </w:r>
          </w:p>
        </w:tc>
        <w:tc>
          <w:tcPr>
            <w:tcW w:w="2835" w:type="dxa"/>
            <w:vAlign w:val="center"/>
          </w:tcPr>
          <w:p>
            <w:pPr>
              <w:pStyle w:val="28"/>
            </w:pPr>
            <w:r>
              <w:t>网络安全稳定运行</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网络安全保障</w:t>
            </w:r>
          </w:p>
        </w:tc>
        <w:tc>
          <w:tcPr>
            <w:tcW w:w="2835" w:type="dxa"/>
            <w:vAlign w:val="center"/>
          </w:tcPr>
          <w:p>
            <w:pPr>
              <w:pStyle w:val="28"/>
            </w:pPr>
            <w:r>
              <w:t>网络发生的安全事件等级</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网络使用人员满意度</w:t>
            </w:r>
          </w:p>
        </w:tc>
        <w:tc>
          <w:tcPr>
            <w:tcW w:w="2835" w:type="dxa"/>
            <w:vAlign w:val="center"/>
          </w:tcPr>
          <w:p>
            <w:pPr>
              <w:pStyle w:val="28"/>
            </w:pPr>
            <w:r>
              <w:t>网络使用人员满意度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15、治安保险承保资金绩效目标表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1.目标内容1主要是针对群众遭遇各类治安灾害和受到违法犯罪分子侵害所出现的损失，由保险公司根据受害人投保额度，向受害人提供事后经济补偿的保险服务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治安案件办结率</w:t>
            </w:r>
          </w:p>
        </w:tc>
        <w:tc>
          <w:tcPr>
            <w:tcW w:w="2835" w:type="dxa"/>
            <w:vAlign w:val="center"/>
          </w:tcPr>
          <w:p>
            <w:pPr>
              <w:pStyle w:val="28"/>
            </w:pPr>
            <w:r>
              <w:t>治安案件办结率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治安保险的投保率</w:t>
            </w:r>
          </w:p>
        </w:tc>
        <w:tc>
          <w:tcPr>
            <w:tcW w:w="2835" w:type="dxa"/>
            <w:vAlign w:val="center"/>
          </w:tcPr>
          <w:p>
            <w:pPr>
              <w:pStyle w:val="28"/>
            </w:pPr>
            <w:r>
              <w:t>治安保险在全县的投保比率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治安保险的推广率</w:t>
            </w:r>
          </w:p>
        </w:tc>
        <w:tc>
          <w:tcPr>
            <w:tcW w:w="2835" w:type="dxa"/>
            <w:vAlign w:val="center"/>
          </w:tcPr>
          <w:p>
            <w:pPr>
              <w:pStyle w:val="28"/>
            </w:pPr>
            <w:r>
              <w:t>治安保险在全县的推广比率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社会保险补贴人均标准</w:t>
            </w:r>
          </w:p>
        </w:tc>
        <w:tc>
          <w:tcPr>
            <w:tcW w:w="2835" w:type="dxa"/>
            <w:vAlign w:val="center"/>
          </w:tcPr>
          <w:p>
            <w:pPr>
              <w:pStyle w:val="28"/>
            </w:pPr>
            <w:r>
              <w:t>社会保险补贴人均标准</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事故赔付率</w:t>
            </w:r>
          </w:p>
          <w:p>
            <w:pPr>
              <w:pStyle w:val="28"/>
            </w:pPr>
          </w:p>
        </w:tc>
        <w:tc>
          <w:tcPr>
            <w:tcW w:w="2835" w:type="dxa"/>
            <w:vAlign w:val="center"/>
          </w:tcPr>
          <w:p>
            <w:pPr>
              <w:pStyle w:val="28"/>
            </w:pPr>
            <w:r>
              <w:t>保险公司出险及赔付比例</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治安案件发案数（个）</w:t>
            </w:r>
          </w:p>
        </w:tc>
        <w:tc>
          <w:tcPr>
            <w:tcW w:w="2835" w:type="dxa"/>
            <w:vAlign w:val="center"/>
          </w:tcPr>
          <w:p>
            <w:pPr>
              <w:pStyle w:val="28"/>
            </w:pPr>
            <w:r>
              <w:t>治安案件发案数（个）</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服务率</w:t>
            </w:r>
          </w:p>
        </w:tc>
        <w:tc>
          <w:tcPr>
            <w:tcW w:w="2835" w:type="dxa"/>
            <w:vAlign w:val="center"/>
          </w:tcPr>
          <w:p>
            <w:pPr>
              <w:pStyle w:val="28"/>
            </w:pPr>
            <w:r>
              <w:t>得到治安保险服务数量占符合条件应赔偿总数的比例</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16、综治信息化系统建设经费绩效目标表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1.目标内容1专（兼）职网格员手持信息采集终端或手机APP要实现全覆盖</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年度信息系统数量</w:t>
            </w:r>
          </w:p>
        </w:tc>
        <w:tc>
          <w:tcPr>
            <w:tcW w:w="2835" w:type="dxa"/>
            <w:vAlign w:val="center"/>
          </w:tcPr>
          <w:p>
            <w:pPr>
              <w:pStyle w:val="28"/>
            </w:pPr>
            <w:r>
              <w:t>年度信息系统数量</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信息系统建设维护工作完成率</w:t>
            </w:r>
          </w:p>
        </w:tc>
        <w:tc>
          <w:tcPr>
            <w:tcW w:w="2835" w:type="dxa"/>
            <w:vAlign w:val="center"/>
          </w:tcPr>
          <w:p>
            <w:pPr>
              <w:pStyle w:val="28"/>
            </w:pPr>
            <w:r>
              <w:t>信息系统建设维护工作完成率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信息获取及时性</w:t>
            </w:r>
          </w:p>
        </w:tc>
        <w:tc>
          <w:tcPr>
            <w:tcW w:w="2835" w:type="dxa"/>
            <w:vAlign w:val="center"/>
          </w:tcPr>
          <w:p>
            <w:pPr>
              <w:pStyle w:val="28"/>
            </w:pPr>
            <w:r>
              <w:t>信息获取及时性</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单条信息成本</w:t>
            </w:r>
          </w:p>
        </w:tc>
        <w:tc>
          <w:tcPr>
            <w:tcW w:w="2835" w:type="dxa"/>
            <w:vAlign w:val="center"/>
          </w:tcPr>
          <w:p>
            <w:pPr>
              <w:pStyle w:val="28"/>
            </w:pPr>
            <w:r>
              <w:t>单条信息成本</w:t>
            </w:r>
          </w:p>
        </w:tc>
        <w:tc>
          <w:tcPr>
            <w:tcW w:w="2551" w:type="dxa"/>
            <w:vAlign w:val="center"/>
          </w:tcPr>
          <w:p>
            <w:pPr>
              <w:pStyle w:val="28"/>
            </w:pPr>
            <w:r>
              <w:t>≥70百分比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保持信息系统良好安全状态，确保</w:t>
            </w:r>
          </w:p>
        </w:tc>
        <w:tc>
          <w:tcPr>
            <w:tcW w:w="2835" w:type="dxa"/>
            <w:vAlign w:val="center"/>
          </w:tcPr>
          <w:p>
            <w:pPr>
              <w:pStyle w:val="28"/>
            </w:pPr>
            <w:r>
              <w:t>保持信息系统良好安全状态，确保正常运行</w:t>
            </w:r>
          </w:p>
        </w:tc>
        <w:tc>
          <w:tcPr>
            <w:tcW w:w="2551" w:type="dxa"/>
            <w:vAlign w:val="center"/>
          </w:tcPr>
          <w:p>
            <w:pPr>
              <w:pStyle w:val="28"/>
            </w:pPr>
            <w:r>
              <w:t>系统良好</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保证信息备案、数据</w:t>
            </w:r>
          </w:p>
        </w:tc>
        <w:tc>
          <w:tcPr>
            <w:tcW w:w="2835" w:type="dxa"/>
            <w:vAlign w:val="center"/>
          </w:tcPr>
          <w:p>
            <w:pPr>
              <w:pStyle w:val="28"/>
            </w:pPr>
            <w:r>
              <w:t>保证信息备案、数据分析研判等工作顺利开展</w:t>
            </w:r>
          </w:p>
        </w:tc>
        <w:tc>
          <w:tcPr>
            <w:tcW w:w="2551" w:type="dxa"/>
            <w:vAlign w:val="center"/>
          </w:tcPr>
          <w:p>
            <w:pPr>
              <w:pStyle w:val="28"/>
            </w:pPr>
            <w:r>
              <w:t>工作顺利</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有价值情报信息采用率</w:t>
            </w:r>
          </w:p>
        </w:tc>
        <w:tc>
          <w:tcPr>
            <w:tcW w:w="2835" w:type="dxa"/>
            <w:vAlign w:val="center"/>
          </w:tcPr>
          <w:p>
            <w:pPr>
              <w:pStyle w:val="28"/>
            </w:pPr>
            <w:r>
              <w:t>有价值情报信息采用率</w:t>
            </w:r>
          </w:p>
        </w:tc>
        <w:tc>
          <w:tcPr>
            <w:tcW w:w="2551" w:type="dxa"/>
            <w:vAlign w:val="center"/>
          </w:tcPr>
          <w:p>
            <w:pPr>
              <w:pStyle w:val="28"/>
            </w:pPr>
            <w:r>
              <w:t>≥90百分比</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调研报告、社情民意信息得到有关</w:t>
            </w:r>
          </w:p>
        </w:tc>
        <w:tc>
          <w:tcPr>
            <w:tcW w:w="2835" w:type="dxa"/>
            <w:vAlign w:val="center"/>
          </w:tcPr>
          <w:p>
            <w:pPr>
              <w:pStyle w:val="28"/>
            </w:pPr>
            <w:r>
              <w:t>调研报告、社情民意信息得到有关部门、上级领导等反馈率</w:t>
            </w:r>
          </w:p>
        </w:tc>
        <w:tc>
          <w:tcPr>
            <w:tcW w:w="2551" w:type="dxa"/>
            <w:vAlign w:val="center"/>
          </w:tcPr>
          <w:p>
            <w:pPr>
              <w:pStyle w:val="28"/>
            </w:pPr>
            <w:r>
              <w:t>有效利用</w:t>
            </w:r>
          </w:p>
        </w:tc>
        <w:tc>
          <w:tcPr>
            <w:tcW w:w="2268" w:type="dxa"/>
            <w:vAlign w:val="center"/>
          </w:tcPr>
          <w:p>
            <w:pPr>
              <w:pStyle w:val="28"/>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科普信息化受惠群众满意度</w:t>
            </w:r>
          </w:p>
        </w:tc>
        <w:tc>
          <w:tcPr>
            <w:tcW w:w="2835" w:type="dxa"/>
            <w:vAlign w:val="center"/>
          </w:tcPr>
          <w:p>
            <w:pPr>
              <w:pStyle w:val="28"/>
            </w:pPr>
            <w:r>
              <w:t>科普信息化受惠群众满意度</w:t>
            </w:r>
          </w:p>
        </w:tc>
        <w:tc>
          <w:tcPr>
            <w:tcW w:w="2551" w:type="dxa"/>
            <w:vAlign w:val="center"/>
          </w:tcPr>
          <w:p>
            <w:pPr>
              <w:pStyle w:val="28"/>
            </w:pPr>
            <w:r>
              <w:t>≥90百分比</w:t>
            </w:r>
          </w:p>
        </w:tc>
        <w:tc>
          <w:tcPr>
            <w:tcW w:w="2268" w:type="dxa"/>
            <w:vAlign w:val="center"/>
          </w:tcPr>
          <w:p>
            <w:pPr>
              <w:pStyle w:val="28"/>
            </w:pPr>
            <w:r>
              <w:t>省市文件</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2022年，中国共产党玉田县委员会政法委员会本级安排政府采购预算0.00万元。具体内容见下表。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中国共产党玉田县委员会政法委员会本级上年末固定资产金额为45000.00万元（详见下表）。本年度拟购置固定资产总额为0.00万元，已按要求列入政府采购预算，详见政府采购预算表。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308001中国共产党玉田县委员会政法委员会本级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F1442E"/>
    <w:rsid w:val="08FB542E"/>
    <w:rsid w:val="096451A2"/>
    <w:rsid w:val="10272B3E"/>
    <w:rsid w:val="14E03201"/>
    <w:rsid w:val="24C72806"/>
    <w:rsid w:val="3037216C"/>
    <w:rsid w:val="47A241AE"/>
    <w:rsid w:val="5F420CFD"/>
    <w:rsid w:val="715E7003"/>
    <w:rsid w:val="78306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06ff99f8-1e97-4af1-8a29-7b8a1fdcd3cf"/>
    <w:qFormat/>
    <w:uiPriority w:val="0"/>
    <w:rPr>
      <w:rFonts w:ascii="Times New Roman" w:hAnsi="Times New Roman" w:eastAsia="Times New Roman" w:cstheme="minorBidi"/>
      <w:sz w:val="24"/>
      <w:szCs w:val="24"/>
      <w:lang w:val="en-US" w:eastAsia="uk-UA" w:bidi="ar-SA"/>
    </w:rPr>
  </w:style>
  <w:style w:type="paragraph" w:customStyle="1" w:styleId="27">
    <w:name w:val="单元格样式1_390b4747-9694-4c9a-8543-156cc691ef8d"/>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16e9e739-76f6-4ea5-b5a0-84728e0b2458"/>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e3be2dae-4af3-4e6f-949c-07044dfe8d21"/>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2022-02-07T09:20:50Z</dcterms:created>
  <dcterms:modified xsi:type="dcterms:W3CDTF">2022-02-07T01:20:50Z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2022-02-07T09:20:40Z</dcterms:created>
  <dcterms:modified xsi:type="dcterms:W3CDTF">2022-02-07T01:20:40Z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2022-02-07T09:20:44Z</dcterms:created>
  <dcterms:modified xsi:type="dcterms:W3CDTF">2022-02-07T01:20:44Z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2022-02-07T09:20:46Z</dcterms:created>
  <dcterms:modified xsi:type="dcterms:W3CDTF">2022-02-07T01:20:46Z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399ab-700c-4acb-a1e1-796db8b52dc1}">
  <ds:schemaRefs/>
</ds:datastoreItem>
</file>

<file path=customXml/itemProps3.xml><?xml version="1.0" encoding="utf-8"?>
<ds:datastoreItem xmlns:ds="http://schemas.openxmlformats.org/officeDocument/2006/customXml" ds:itemID="{3eb5ec5c-7ab2-4ef9-97bc-084f5eb53a44}">
  <ds:schemaRefs/>
</ds:datastoreItem>
</file>

<file path=customXml/itemProps4.xml><?xml version="1.0" encoding="utf-8"?>
<ds:datastoreItem xmlns:ds="http://schemas.openxmlformats.org/officeDocument/2006/customXml" ds:itemID="{5bcc790a-d378-4663-ac76-a097f973bba4}">
  <ds:schemaRefs/>
</ds:datastoreItem>
</file>

<file path=customXml/itemProps5.xml><?xml version="1.0" encoding="utf-8"?>
<ds:datastoreItem xmlns:ds="http://schemas.openxmlformats.org/officeDocument/2006/customXml" ds:itemID="{dc0d7a67-7168-4094-b132-93c83ba61c55}">
  <ds:schemaRefs/>
</ds:datastoreItem>
</file>

<file path=customXml/itemProps6.xml><?xml version="1.0" encoding="utf-8"?>
<ds:datastoreItem xmlns:ds="http://schemas.openxmlformats.org/officeDocument/2006/customXml" ds:itemID="{2c63f9b9-b171-4d3a-96ce-a227b96269d2}">
  <ds:schemaRefs/>
</ds:datastoreItem>
</file>

<file path=customXml/itemProps7.xml><?xml version="1.0" encoding="utf-8"?>
<ds:datastoreItem xmlns:ds="http://schemas.openxmlformats.org/officeDocument/2006/customXml" ds:itemID="{3cf2a554-4127-423d-95bd-ffa5b1b11974}">
  <ds:schemaRefs/>
</ds:datastoreItem>
</file>

<file path=customXml/itemProps8.xml><?xml version="1.0" encoding="utf-8"?>
<ds:datastoreItem xmlns:ds="http://schemas.openxmlformats.org/officeDocument/2006/customXml" ds:itemID="{82a335bc-960f-4006-9ec7-2ffa132e0235}">
  <ds:schemaRefs/>
</ds:datastoreItem>
</file>

<file path=customXml/itemProps9.xml><?xml version="1.0" encoding="utf-8"?>
<ds:datastoreItem xmlns:ds="http://schemas.openxmlformats.org/officeDocument/2006/customXml" ds:itemID="{1bd4e609-d2f0-4525-b8e0-099c7295b5d0}">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2022-02-07T09:20:00Z</dcterms:created>
  <dc:creator>Administrator</dc:creator>
  <cp:lastModifiedBy>Administrator</cp:lastModifiedBy>
  <dcterms:modified xsi:type="dcterms:W3CDTF">2022-02-14T08:01:22Z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