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玉田县文物管理所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玉田县文物管理所编制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1.净觉寺景区提升复核绩效目标表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2.净觉寺消防维护保养和电气检测绩效目标表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3.重点文物单位维护保养绩效目标表</w:t>
        </w:r>
        <w:r>
          <w:tab/>
        </w:r>
        <w:r>
          <w:fldChar w:fldCharType="begin"/>
        </w:r>
        <w:r>
          <w:instrText xml:space="preserve">PAGEREF _Toc_4_4_0000000006 \h</w:instrText>
        </w:r>
        <w:r>
          <w:fldChar w:fldCharType="separate"/>
        </w:r>
        <w:r>
          <w:t xml:space="preserve">7</w:t>
        </w:r>
        <w:r>
          <w:fldChar w:fldCharType="end"/>
        </w:r>
      </w:hyperlink>
    </w:p>
    <w:p>
      <w:pPr/>
      <w:r>
        <w:fldChar w:fldCharType="end"/>
      </w:r>
    </w:p>
    <w:p>
      <w:pPr>
        <w:sectPr>
          <w:footerReference w:type="even" r:id="rId11"/>
          <w:footerReference w:type="default" r:id="rId12"/>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部门整体绩效目标：</w:t>
      </w:r>
    </w:p>
    <w:p>
      <w:pPr>
        <w:pStyle w:val="插入文本样式-插入总体目标文件"/>
      </w:pPr>
      <w:r>
        <w:t xml:space="preserve">（一）加强文物保护工作。</w:t>
      </w:r>
    </w:p>
    <w:p>
      <w:pPr>
        <w:pStyle w:val="插入文本样式-插入总体目标文件"/>
      </w:pPr>
      <w:r>
        <w:t xml:space="preserve">1、保护好国家、省、市重点文物保护单位的现状，加强古建筑的消防安全工作，把净觉寺的消防工作作为重点建立专职消防队并指导完成县内文物保护单位消防维护保养和电气检测工作。</w:t>
      </w:r>
    </w:p>
    <w:p>
      <w:pPr>
        <w:pStyle w:val="插入文本样式-插入总体目标文件"/>
      </w:pPr>
      <w:r>
        <w:t xml:space="preserve">2、充分利用文物资源做好爱教基地的建设、旅游、民俗文化研究工作。做好全国重点文物保护单位孟家泉遗址的维护、省重点文物保护单位达王庄王氏宗祠、江浩故居的文物本体的维修工作。</w:t>
      </w:r>
    </w:p>
    <w:p>
      <w:pPr>
        <w:pStyle w:val="插入文本样式-插入总体目标文件"/>
      </w:pPr>
      <w:r>
        <w:t xml:space="preserve">3、加强文物保护法的宣传，加大文物保护的执法力度。</w:t>
      </w:r>
    </w:p>
    <w:p>
      <w:pPr>
        <w:pStyle w:val="插入文本样式-插入总体目标文件"/>
      </w:pPr>
      <w:r>
        <w:t xml:space="preserve">4、落实好文物的四有工作和文物保护责任制，全县92处文物，每处有一名保护员。做好文物日常保护工作</w:t>
      </w:r>
    </w:p>
    <w:p>
      <w:pPr>
        <w:pStyle w:val="插入文本样式-插入总体目标文件"/>
      </w:pPr>
      <w:r>
        <w:t xml:space="preserve">（二）开展旅游工作，加强净觉寺景区的管理工作。</w:t>
      </w:r>
    </w:p>
    <w:p>
      <w:pPr>
        <w:pStyle w:val="插入文本样式-插入总体目标文件"/>
      </w:pPr>
      <w:r>
        <w:t xml:space="preserve">1、加大宣传力度，通过各种渠道积极宣传净觉寺，增加客流量，同时提高服务质量和接待水平。</w:t>
      </w:r>
    </w:p>
    <w:p>
      <w:pPr>
        <w:pStyle w:val="插入文本样式-插入总体目标文件"/>
      </w:pPr>
      <w:r>
        <w:t xml:space="preserve">2、加强景区内部景观建设，完成3A景区复核，达到上级旅游部门的评定标准，对现有的古建筑及院内园林进行有效的维护管理。</w:t>
      </w:r>
    </w:p>
    <w:p>
      <w:pPr>
        <w:pStyle w:val="插入文本样式-插入总体目标文件"/>
      </w:pPr>
      <w:r>
        <w:t xml:space="preserve">3、做好景区东西院及前后花园的维护与管理工作，体现净觉寺人文精神。</w:t>
      </w:r>
    </w:p>
    <w:p>
      <w:pPr>
        <w:pStyle w:val="插入文本样式-插入总体目标文件"/>
      </w:pPr>
      <w:r>
        <w:t xml:space="preserve">4、净觉寺水冲厕所投入使用后的维护保养工作。</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一、净觉寺消防、防雷、安防维护保养和电气检测</w:t>
      </w:r>
    </w:p>
    <w:p>
      <w:pPr>
        <w:pStyle w:val="插入文本样式-插入职责分类绩效目标文件"/>
      </w:pPr>
      <w:r>
        <w:t xml:space="preserve">项目年初安排资金5万元，项目主要目标为2022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文物法律对各级政府的要求。服务对象满意度－文物安全工作志愿者满意度情况-指标值为&gt;＝90%-文物法相关规定；文物安全活动参与者满意度-上级文物部门检查合格率-80%-反映文物安全达标程度-文物法相关规定。</w:t>
      </w:r>
    </w:p>
    <w:p>
      <w:pPr>
        <w:pStyle w:val="插入文本样式-插入职责分类绩效目标文件"/>
      </w:pPr>
      <w:r>
        <w:t xml:space="preserve">二、净觉寺景区提升维护复核</w:t>
      </w:r>
      <w:r>
        <w:tab/>
      </w:r>
    </w:p>
    <w:p>
      <w:pPr>
        <w:pStyle w:val="插入文本样式-插入职责分类绩效目标文件"/>
      </w:pPr>
      <w:r>
        <w:t xml:space="preserve">项目年初安排资金5万元，项目主要目标是优化净觉寺景区环境，提升景区接待水平，满足游客日益增长的文化旅游需求，顺利通过2022年度复核。</w:t>
      </w:r>
    </w:p>
    <w:p>
      <w:pPr>
        <w:pStyle w:val="插入文本样式-插入职责分类绩效目标文件"/>
      </w:pPr>
      <w:r>
        <w:t xml:space="preserve">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插入文本样式-插入职责分类绩效目标文件"/>
      </w:pPr>
      <w:r>
        <w:t xml:space="preserve">三、重点文物单位维护保养</w:t>
      </w:r>
    </w:p>
    <w:p>
      <w:pPr>
        <w:pStyle w:val="插入文本样式-插入职责分类绩效目标文件"/>
      </w:pPr>
      <w:r>
        <w:t xml:space="preserve">项目年初安排资金1万元，项目主要目标为2021年全县不可移动文物安全员全覆盖，全县文物义务保护组织初步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文物法》办法；质量指标-文物安全员队伍整体素质-文物点出现异常状态及时发现、保护、报告-文物安全员职责；时效指标-义务保护员队伍有效衔接-义务保护员队伍的更新完善程度-按时完成义务保护员队伍的建立是有效运行的保证-河北省《实施文物法》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文物法律对各级政府的要求。服务对象满意度－文物安全员工作志愿者满意度情况-指标值为补贴发放&gt;＝90%-文物法相关规定；文物安全活动参与者满意度-上级文物部门对工作的认可度&gt;＝90%-反映文物保护程度-文物法相关规定。</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工作保障措施：</w:t>
      </w:r>
    </w:p>
    <w:p>
      <w:pPr>
        <w:pStyle w:val="插入文本样式-插入实现年度发展规划目标的保障措施文件"/>
      </w:pPr>
      <w:r>
        <w:t xml:space="preserve">一、加强领导，提高认识。</w:t>
      </w:r>
    </w:p>
    <w:p>
      <w:pPr>
        <w:pStyle w:val="插入文本样式-插入实现年度发展规划目标的保障措施文件"/>
      </w:pPr>
      <w:r>
        <w:t xml:space="preserve">认真学习上级文件精神，统一思想提高认识，严格要求，切实做好各项工作。</w:t>
      </w:r>
    </w:p>
    <w:p>
      <w:pPr>
        <w:pStyle w:val="插入文本样式-插入实现年度发展规划目标的保障措施文件"/>
      </w:pPr>
      <w:r>
        <w:t xml:space="preserve">二、细化目标，抓好落实。</w:t>
      </w:r>
    </w:p>
    <w:p>
      <w:pPr>
        <w:pStyle w:val="插入文本样式-插入实现年度发展规划目标的保障措施文件"/>
      </w:pPr>
      <w:r>
        <w:t xml:space="preserve">结合单位实际情况逐项核实，细化支出目标，严格落实上级的各项规定和要求，在具体工作中运用并抓好落实，把工作做到实处。</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1.净觉寺景区提升复核绩效目标表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13022922P00JXC412024Y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净觉寺景区提升复核</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优化净觉寺景区环境，提升景区接待水平，满足游客日益增长的文化旅游需求，顺利通过2022年3A景区复核验收。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为确保AAA级景区净觉寺游览设施齐全，景区环境整洁、游客安全有序，根据《中华人民共和国旅游法》、《A级景区质量等级评定标准》等要求，维护景区设施运营，提升游客接待水平，将净觉寺景区提升维护复核工作纳入2022年专题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复核验收</w:t>
            </w:r>
          </w:p>
        </w:tc>
        <w:tc>
          <w:tcPr>
            <w:tcW w:w="2891" w:type="dxa"/>
            <w:hMerge w:val="restart"/>
            <w:vAlign w:val="center"/>
          </w:tcPr>
          <w:p>
            <w:pPr>
              <w:pStyle w:val="单元格样式2"/>
            </w:pPr>
            <w:r>
              <w:t xml:space="preserve">复核验收</w:t>
            </w:r>
          </w:p>
        </w:tc>
        <w:tc>
          <w:tcPr>
            <w:tcW w:w="0" w:type="auto"/>
            <w:hMerge/>
            <w:vAlign w:val="center"/>
          </w:tcPr>
          <w:p>
            <w:pPr/>
          </w:p>
        </w:tc>
        <w:tc>
          <w:tcPr>
            <w:tcW w:w="1276" w:type="dxa"/>
            <w:vAlign w:val="center"/>
          </w:tcPr>
          <w:p>
            <w:pPr>
              <w:pStyle w:val="单元格样式2"/>
            </w:pPr>
            <w:r>
              <w:t xml:space="preserve">≥90保证3A景区复核验收顺利通过</w:t>
            </w:r>
          </w:p>
        </w:tc>
        <w:tc>
          <w:tcPr>
            <w:tcW w:w="1843" w:type="dxa"/>
            <w:vAlign w:val="center"/>
          </w:tcPr>
          <w:p>
            <w:pPr>
              <w:pStyle w:val="单元格样式2"/>
            </w:pPr>
            <w:r>
              <w:t xml:space="preserve">旅游文件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项目验收通过率（%）</w:t>
            </w:r>
          </w:p>
        </w:tc>
        <w:tc>
          <w:tcPr>
            <w:tcW w:w="2891" w:type="dxa"/>
            <w:hMerge w:val="restart"/>
            <w:vAlign w:val="center"/>
          </w:tcPr>
          <w:p>
            <w:pPr>
              <w:pStyle w:val="单元格样式2"/>
            </w:pPr>
            <w:r>
              <w:t xml:space="preserve">项目验收通过率（%）</w:t>
            </w:r>
          </w:p>
        </w:tc>
        <w:tc>
          <w:tcPr>
            <w:tcW w:w="0" w:type="auto"/>
            <w:hMerge/>
            <w:vAlign w:val="center"/>
          </w:tcPr>
          <w:p>
            <w:pPr/>
          </w:p>
        </w:tc>
        <w:tc>
          <w:tcPr>
            <w:tcW w:w="1276" w:type="dxa"/>
            <w:vAlign w:val="center"/>
          </w:tcPr>
          <w:p>
            <w:pPr>
              <w:pStyle w:val="单元格样式2"/>
            </w:pPr>
            <w:r>
              <w:t xml:space="preserve">≥90项目验收通过率要达到优秀</w:t>
            </w:r>
          </w:p>
        </w:tc>
        <w:tc>
          <w:tcPr>
            <w:tcW w:w="1843" w:type="dxa"/>
            <w:vAlign w:val="center"/>
          </w:tcPr>
          <w:p>
            <w:pPr>
              <w:pStyle w:val="单元格样式2"/>
            </w:pPr>
            <w:r>
              <w:t xml:space="preserve">旅游文件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案件、资料上报及时率</w:t>
            </w:r>
          </w:p>
        </w:tc>
        <w:tc>
          <w:tcPr>
            <w:tcW w:w="2891" w:type="dxa"/>
            <w:hMerge w:val="restart"/>
            <w:vAlign w:val="center"/>
          </w:tcPr>
          <w:p>
            <w:pPr>
              <w:pStyle w:val="单元格样式2"/>
            </w:pPr>
            <w:r>
              <w:t xml:space="preserve">案件、资料上报及时率</w:t>
            </w:r>
          </w:p>
        </w:tc>
        <w:tc>
          <w:tcPr>
            <w:tcW w:w="0" w:type="auto"/>
            <w:hMerge/>
            <w:vAlign w:val="center"/>
          </w:tcPr>
          <w:p>
            <w:pPr/>
          </w:p>
        </w:tc>
        <w:tc>
          <w:tcPr>
            <w:tcW w:w="1276" w:type="dxa"/>
            <w:vAlign w:val="center"/>
          </w:tcPr>
          <w:p>
            <w:pPr>
              <w:pStyle w:val="单元格样式2"/>
            </w:pPr>
            <w:r>
              <w:t xml:space="preserve">≥90各项复核资料充分准备及时上报</w:t>
            </w:r>
          </w:p>
        </w:tc>
        <w:tc>
          <w:tcPr>
            <w:tcW w:w="1843" w:type="dxa"/>
            <w:vAlign w:val="center"/>
          </w:tcPr>
          <w:p>
            <w:pPr>
              <w:pStyle w:val="单元格样式2"/>
            </w:pPr>
            <w:r>
              <w:t xml:space="preserve">旅游文件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经费控制数</w:t>
            </w:r>
          </w:p>
        </w:tc>
        <w:tc>
          <w:tcPr>
            <w:tcW w:w="2891" w:type="dxa"/>
            <w:hMerge w:val="restart"/>
            <w:vAlign w:val="center"/>
          </w:tcPr>
          <w:p>
            <w:pPr>
              <w:pStyle w:val="单元格样式2"/>
            </w:pPr>
            <w:r>
              <w:t xml:space="preserve">经费控制数</w:t>
            </w:r>
          </w:p>
        </w:tc>
        <w:tc>
          <w:tcPr>
            <w:tcW w:w="0" w:type="auto"/>
            <w:hMerge/>
            <w:vAlign w:val="center"/>
          </w:tcPr>
          <w:p>
            <w:pPr/>
          </w:p>
        </w:tc>
        <w:tc>
          <w:tcPr>
            <w:tcW w:w="1276" w:type="dxa"/>
            <w:vAlign w:val="center"/>
          </w:tcPr>
          <w:p>
            <w:pPr>
              <w:pStyle w:val="单元格样式2"/>
            </w:pPr>
            <w:r>
              <w:t xml:space="preserve">≥90控制好复核资金的应用</w:t>
            </w:r>
          </w:p>
        </w:tc>
        <w:tc>
          <w:tcPr>
            <w:tcW w:w="1843" w:type="dxa"/>
            <w:vAlign w:val="center"/>
          </w:tcPr>
          <w:p>
            <w:pPr>
              <w:pStyle w:val="单元格样式2"/>
            </w:pPr>
            <w:r>
              <w:t xml:space="preserve">旅游文件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≥90通过景区复核提高各项工作效率</w:t>
            </w:r>
          </w:p>
        </w:tc>
        <w:tc>
          <w:tcPr>
            <w:tcW w:w="1843" w:type="dxa"/>
            <w:vAlign w:val="center"/>
          </w:tcPr>
          <w:p>
            <w:pPr>
              <w:pStyle w:val="单元格样式2"/>
            </w:pPr>
            <w:r>
              <w:t xml:space="preserve">旅游文件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吸引观众、游客数</w:t>
            </w:r>
          </w:p>
        </w:tc>
        <w:tc>
          <w:tcPr>
            <w:tcW w:w="2891" w:type="dxa"/>
            <w:hMerge w:val="restart"/>
            <w:vAlign w:val="center"/>
          </w:tcPr>
          <w:p>
            <w:pPr>
              <w:pStyle w:val="单元格样式2"/>
            </w:pPr>
            <w:r>
              <w:t xml:space="preserve">吸引观众、游客数</w:t>
            </w:r>
          </w:p>
        </w:tc>
        <w:tc>
          <w:tcPr>
            <w:tcW w:w="0" w:type="auto"/>
            <w:hMerge/>
            <w:vAlign w:val="center"/>
          </w:tcPr>
          <w:p>
            <w:pPr/>
          </w:p>
        </w:tc>
        <w:tc>
          <w:tcPr>
            <w:tcW w:w="1276" w:type="dxa"/>
            <w:vAlign w:val="center"/>
          </w:tcPr>
          <w:p>
            <w:pPr>
              <w:pStyle w:val="单元格样式2"/>
            </w:pPr>
            <w:r>
              <w:t xml:space="preserve">≥90通过复核，景区环境公共设施有所提高</w:t>
            </w:r>
          </w:p>
        </w:tc>
        <w:tc>
          <w:tcPr>
            <w:tcW w:w="1843" w:type="dxa"/>
            <w:vAlign w:val="center"/>
          </w:tcPr>
          <w:p>
            <w:pPr>
              <w:pStyle w:val="单元格样式2"/>
            </w:pPr>
            <w:r>
              <w:t xml:space="preserve">旅游文件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≥90达到好的生态影响效果</w:t>
            </w:r>
          </w:p>
        </w:tc>
        <w:tc>
          <w:tcPr>
            <w:tcW w:w="1843" w:type="dxa"/>
            <w:vAlign w:val="center"/>
          </w:tcPr>
          <w:p>
            <w:pPr>
              <w:pStyle w:val="单元格样式2"/>
            </w:pPr>
            <w:r>
              <w:t xml:space="preserve">旅游文件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≥90可持续性服务</w:t>
            </w:r>
          </w:p>
        </w:tc>
        <w:tc>
          <w:tcPr>
            <w:tcW w:w="1843" w:type="dxa"/>
            <w:vAlign w:val="center"/>
          </w:tcPr>
          <w:p>
            <w:pPr>
              <w:pStyle w:val="单元格样式2"/>
            </w:pPr>
            <w:r>
              <w:t xml:space="preserve">旅游文件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≥90达到服务对象满意</w:t>
            </w:r>
          </w:p>
        </w:tc>
        <w:tc>
          <w:tcPr>
            <w:tcW w:w="1843" w:type="dxa"/>
            <w:vAlign w:val="center"/>
          </w:tcPr>
          <w:p>
            <w:pPr>
              <w:pStyle w:val="单元格样式2"/>
            </w:pPr>
            <w:r>
              <w:t xml:space="preserve">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2.净觉寺消防维护保养和电气检测绩效目标表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13022922P00JXC4120266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净觉寺消防维护保养和电气检测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保证2022年净觉寺景区消防安全系统正常运行，顺利通过消防部门验收，保证净觉寺文物古建消防安全。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1.目标内容1重点对净觉寺消防及供电系统进行维护保养和检测维修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检测结果可靠性</w:t>
            </w:r>
          </w:p>
        </w:tc>
        <w:tc>
          <w:tcPr>
            <w:tcW w:w="2891" w:type="dxa"/>
            <w:hMerge w:val="restart"/>
            <w:vAlign w:val="center"/>
          </w:tcPr>
          <w:p>
            <w:pPr>
              <w:pStyle w:val="单元格样式2"/>
            </w:pPr>
            <w:r>
              <w:t xml:space="preserve">检测结果可靠性</w:t>
            </w:r>
          </w:p>
        </w:tc>
        <w:tc>
          <w:tcPr>
            <w:tcW w:w="0" w:type="auto"/>
            <w:hMerge/>
            <w:vAlign w:val="center"/>
          </w:tcPr>
          <w:p>
            <w:pPr/>
          </w:p>
        </w:tc>
        <w:tc>
          <w:tcPr>
            <w:tcW w:w="1276" w:type="dxa"/>
            <w:vAlign w:val="center"/>
          </w:tcPr>
          <w:p>
            <w:pPr>
              <w:pStyle w:val="单元格样式2"/>
            </w:pPr>
            <w:r>
              <w:t xml:space="preserve">≥90检测结果可靠性</w:t>
            </w:r>
          </w:p>
        </w:tc>
        <w:tc>
          <w:tcPr>
            <w:tcW w:w="1843" w:type="dxa"/>
            <w:vAlign w:val="center"/>
          </w:tcPr>
          <w:p>
            <w:pPr>
              <w:pStyle w:val="单元格样式2"/>
            </w:pPr>
            <w:r>
              <w:t xml:space="preserve">中华人民共和国消防法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检验检测设备达标率</w:t>
            </w:r>
          </w:p>
        </w:tc>
        <w:tc>
          <w:tcPr>
            <w:tcW w:w="2891" w:type="dxa"/>
            <w:hMerge w:val="restart"/>
            <w:vAlign w:val="center"/>
          </w:tcPr>
          <w:p>
            <w:pPr>
              <w:pStyle w:val="单元格样式2"/>
            </w:pPr>
            <w:r>
              <w:t xml:space="preserve">检验检测设备达标率</w:t>
            </w:r>
          </w:p>
        </w:tc>
        <w:tc>
          <w:tcPr>
            <w:tcW w:w="0" w:type="auto"/>
            <w:hMerge/>
            <w:vAlign w:val="center"/>
          </w:tcPr>
          <w:p>
            <w:pPr/>
          </w:p>
        </w:tc>
        <w:tc>
          <w:tcPr>
            <w:tcW w:w="1276" w:type="dxa"/>
            <w:vAlign w:val="center"/>
          </w:tcPr>
          <w:p>
            <w:pPr>
              <w:pStyle w:val="单元格样式2"/>
            </w:pPr>
            <w:r>
              <w:t xml:space="preserve">≥90检验检测设备达标率</w:t>
            </w:r>
          </w:p>
        </w:tc>
        <w:tc>
          <w:tcPr>
            <w:tcW w:w="1843" w:type="dxa"/>
            <w:vAlign w:val="center"/>
          </w:tcPr>
          <w:p>
            <w:pPr>
              <w:pStyle w:val="单元格样式2"/>
            </w:pPr>
            <w:r>
              <w:t xml:space="preserve">中华人民共和国消防法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按照项目提交申请时间完成检测工</w:t>
            </w:r>
          </w:p>
        </w:tc>
        <w:tc>
          <w:tcPr>
            <w:tcW w:w="2891" w:type="dxa"/>
            <w:hMerge w:val="restart"/>
            <w:vAlign w:val="center"/>
          </w:tcPr>
          <w:p>
            <w:pPr>
              <w:pStyle w:val="单元格样式2"/>
            </w:pPr>
            <w:r>
              <w:t xml:space="preserve">按照项目提交申请时间完成检测工作</w:t>
            </w:r>
          </w:p>
        </w:tc>
        <w:tc>
          <w:tcPr>
            <w:tcW w:w="0" w:type="auto"/>
            <w:hMerge/>
            <w:vAlign w:val="center"/>
          </w:tcPr>
          <w:p>
            <w:pPr/>
          </w:p>
        </w:tc>
        <w:tc>
          <w:tcPr>
            <w:tcW w:w="1276" w:type="dxa"/>
            <w:vAlign w:val="center"/>
          </w:tcPr>
          <w:p>
            <w:pPr>
              <w:pStyle w:val="单元格样式2"/>
            </w:pPr>
            <w:r>
              <w:t xml:space="preserve">≥90按照项目提交申请时间完成检测工作</w:t>
            </w:r>
          </w:p>
        </w:tc>
        <w:tc>
          <w:tcPr>
            <w:tcW w:w="1843" w:type="dxa"/>
            <w:vAlign w:val="center"/>
          </w:tcPr>
          <w:p>
            <w:pPr>
              <w:pStyle w:val="单元格样式2"/>
            </w:pPr>
            <w:r>
              <w:t xml:space="preserve">中华人民共和国消防法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检测单价</w:t>
            </w:r>
          </w:p>
        </w:tc>
        <w:tc>
          <w:tcPr>
            <w:tcW w:w="2891" w:type="dxa"/>
            <w:hMerge w:val="restart"/>
            <w:vAlign w:val="center"/>
          </w:tcPr>
          <w:p>
            <w:pPr>
              <w:pStyle w:val="单元格样式2"/>
            </w:pPr>
            <w:r>
              <w:t xml:space="preserve">不高于《河北省交通建设工程质量检测和工程材料试验收费标准》冀价服【2013】264号文</w:t>
            </w:r>
          </w:p>
        </w:tc>
        <w:tc>
          <w:tcPr>
            <w:tcW w:w="0" w:type="auto"/>
            <w:hMerge/>
            <w:vAlign w:val="center"/>
          </w:tcPr>
          <w:p>
            <w:pPr/>
          </w:p>
        </w:tc>
        <w:tc>
          <w:tcPr>
            <w:tcW w:w="1276" w:type="dxa"/>
            <w:vAlign w:val="center"/>
          </w:tcPr>
          <w:p>
            <w:pPr>
              <w:pStyle w:val="单元格样式2"/>
            </w:pPr>
            <w:r>
              <w:t xml:space="preserve">≥90不高于《河北省交通建设工程质量检测和工程材料试验收费标准》冀价服【2013】264号文</w:t>
            </w:r>
          </w:p>
        </w:tc>
        <w:tc>
          <w:tcPr>
            <w:tcW w:w="1843" w:type="dxa"/>
            <w:vAlign w:val="center"/>
          </w:tcPr>
          <w:p>
            <w:pPr>
              <w:pStyle w:val="单元格样式2"/>
            </w:pPr>
            <w:r>
              <w:t xml:space="preserve">中华人民共和国消防法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≥90资金的使用效率</w:t>
            </w:r>
          </w:p>
        </w:tc>
        <w:tc>
          <w:tcPr>
            <w:tcW w:w="1843" w:type="dxa"/>
            <w:vAlign w:val="center"/>
          </w:tcPr>
          <w:p>
            <w:pPr>
              <w:pStyle w:val="单元格样式2"/>
            </w:pPr>
            <w:r>
              <w:t xml:space="preserve">中华人民共和国消防法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≥90项目实现功能</w:t>
            </w:r>
          </w:p>
        </w:tc>
        <w:tc>
          <w:tcPr>
            <w:tcW w:w="1843" w:type="dxa"/>
            <w:vAlign w:val="center"/>
          </w:tcPr>
          <w:p>
            <w:pPr>
              <w:pStyle w:val="单元格样式2"/>
            </w:pPr>
            <w:r>
              <w:t xml:space="preserve">中华人民共和国消防法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结果准确性</w:t>
            </w:r>
          </w:p>
        </w:tc>
        <w:tc>
          <w:tcPr>
            <w:tcW w:w="2891" w:type="dxa"/>
            <w:hMerge w:val="restart"/>
            <w:vAlign w:val="center"/>
          </w:tcPr>
          <w:p>
            <w:pPr>
              <w:pStyle w:val="单元格样式2"/>
            </w:pPr>
            <w:r>
              <w:t xml:space="preserve">结果准确性</w:t>
            </w:r>
          </w:p>
        </w:tc>
        <w:tc>
          <w:tcPr>
            <w:tcW w:w="0" w:type="auto"/>
            <w:hMerge/>
            <w:vAlign w:val="center"/>
          </w:tcPr>
          <w:p>
            <w:pPr/>
          </w:p>
        </w:tc>
        <w:tc>
          <w:tcPr>
            <w:tcW w:w="1276" w:type="dxa"/>
            <w:vAlign w:val="center"/>
          </w:tcPr>
          <w:p>
            <w:pPr>
              <w:pStyle w:val="单元格样式2"/>
            </w:pPr>
            <w:r>
              <w:t xml:space="preserve">≥90结果准确性</w:t>
            </w:r>
          </w:p>
        </w:tc>
        <w:tc>
          <w:tcPr>
            <w:tcW w:w="1843" w:type="dxa"/>
            <w:vAlign w:val="center"/>
          </w:tcPr>
          <w:p>
            <w:pPr>
              <w:pStyle w:val="单元格样式2"/>
            </w:pPr>
            <w:r>
              <w:t xml:space="preserve">中华人民共和国消防法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监测、评价完成率</w:t>
            </w:r>
          </w:p>
        </w:tc>
        <w:tc>
          <w:tcPr>
            <w:tcW w:w="2891" w:type="dxa"/>
            <w:hMerge w:val="restart"/>
            <w:vAlign w:val="center"/>
          </w:tcPr>
          <w:p>
            <w:pPr>
              <w:pStyle w:val="单元格样式2"/>
            </w:pPr>
            <w:r>
              <w:t xml:space="preserve">监测、评价完成率</w:t>
            </w:r>
          </w:p>
        </w:tc>
        <w:tc>
          <w:tcPr>
            <w:tcW w:w="0" w:type="auto"/>
            <w:hMerge/>
            <w:vAlign w:val="center"/>
          </w:tcPr>
          <w:p>
            <w:pPr/>
          </w:p>
        </w:tc>
        <w:tc>
          <w:tcPr>
            <w:tcW w:w="1276" w:type="dxa"/>
            <w:vAlign w:val="center"/>
          </w:tcPr>
          <w:p>
            <w:pPr>
              <w:pStyle w:val="单元格样式2"/>
            </w:pPr>
            <w:r>
              <w:t xml:space="preserve">≥90监测、评价完成率</w:t>
            </w:r>
          </w:p>
        </w:tc>
        <w:tc>
          <w:tcPr>
            <w:tcW w:w="1843" w:type="dxa"/>
            <w:vAlign w:val="center"/>
          </w:tcPr>
          <w:p>
            <w:pPr>
              <w:pStyle w:val="单元格样式2"/>
            </w:pPr>
            <w:r>
              <w:t xml:space="preserve">中华人民共和国消防法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≥90服务对象满意度</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3.重点文物单位维护保养绩效目标表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13022922P00JXC412018H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重点文物单位维护保养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重点文物保护单位、重点文物部位看护。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1.目标内容1按照全县文物级别和保护现状，对江浩故居、王氏宗祠、古人种玉处等重点文物进行必要的维护和保养、日常看护。全国重点文物保护单位净觉寺消防控制室人员培训。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工程维修养护量（座）</w:t>
            </w:r>
          </w:p>
        </w:tc>
        <w:tc>
          <w:tcPr>
            <w:tcW w:w="2891" w:type="dxa"/>
            <w:hMerge w:val="restart"/>
            <w:vAlign w:val="center"/>
          </w:tcPr>
          <w:p>
            <w:pPr>
              <w:pStyle w:val="单元格样式2"/>
            </w:pPr>
            <w:r>
              <w:t xml:space="preserve">各文物点工程维修养护量</w:t>
            </w:r>
          </w:p>
        </w:tc>
        <w:tc>
          <w:tcPr>
            <w:tcW w:w="0" w:type="auto"/>
            <w:hMerge/>
            <w:vAlign w:val="center"/>
          </w:tcPr>
          <w:p>
            <w:pPr/>
          </w:p>
        </w:tc>
        <w:tc>
          <w:tcPr>
            <w:tcW w:w="1276" w:type="dxa"/>
            <w:vAlign w:val="center"/>
          </w:tcPr>
          <w:p>
            <w:pPr>
              <w:pStyle w:val="单元格样式2"/>
            </w:pPr>
            <w:r>
              <w:t xml:space="preserve">≥90各文物点工程维修养护量</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维修材料及工程质量保证</w:t>
            </w:r>
          </w:p>
        </w:tc>
        <w:tc>
          <w:tcPr>
            <w:tcW w:w="2891" w:type="dxa"/>
            <w:hMerge w:val="restart"/>
            <w:vAlign w:val="center"/>
          </w:tcPr>
          <w:p>
            <w:pPr>
              <w:pStyle w:val="单元格样式2"/>
            </w:pPr>
            <w:r>
              <w:t xml:space="preserve">维修材料及工程质量保证</w:t>
            </w:r>
          </w:p>
        </w:tc>
        <w:tc>
          <w:tcPr>
            <w:tcW w:w="0" w:type="auto"/>
            <w:hMerge/>
            <w:vAlign w:val="center"/>
          </w:tcPr>
          <w:p>
            <w:pPr/>
          </w:p>
        </w:tc>
        <w:tc>
          <w:tcPr>
            <w:tcW w:w="1276" w:type="dxa"/>
            <w:vAlign w:val="center"/>
          </w:tcPr>
          <w:p>
            <w:pPr>
              <w:pStyle w:val="单元格样式2"/>
            </w:pPr>
            <w:r>
              <w:t xml:space="preserve">≥90维修材料及工程质量保证</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按时完成维修工程</w:t>
            </w:r>
          </w:p>
        </w:tc>
        <w:tc>
          <w:tcPr>
            <w:tcW w:w="2891" w:type="dxa"/>
            <w:hMerge w:val="restart"/>
            <w:vAlign w:val="center"/>
          </w:tcPr>
          <w:p>
            <w:pPr>
              <w:pStyle w:val="单元格样式2"/>
            </w:pPr>
            <w:r>
              <w:t xml:space="preserve">按时完成维修工程</w:t>
            </w:r>
          </w:p>
        </w:tc>
        <w:tc>
          <w:tcPr>
            <w:tcW w:w="0" w:type="auto"/>
            <w:hMerge/>
            <w:vAlign w:val="center"/>
          </w:tcPr>
          <w:p>
            <w:pPr/>
          </w:p>
        </w:tc>
        <w:tc>
          <w:tcPr>
            <w:tcW w:w="1276" w:type="dxa"/>
            <w:vAlign w:val="center"/>
          </w:tcPr>
          <w:p>
            <w:pPr>
              <w:pStyle w:val="单元格样式2"/>
            </w:pPr>
            <w:r>
              <w:t xml:space="preserve">≥90按时完成维修工程</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维修改造成本</w:t>
            </w:r>
          </w:p>
        </w:tc>
        <w:tc>
          <w:tcPr>
            <w:tcW w:w="2891" w:type="dxa"/>
            <w:hMerge w:val="restart"/>
            <w:vAlign w:val="center"/>
          </w:tcPr>
          <w:p>
            <w:pPr>
              <w:pStyle w:val="单元格样式2"/>
            </w:pPr>
            <w:r>
              <w:t xml:space="preserve">维修改造成本</w:t>
            </w:r>
          </w:p>
        </w:tc>
        <w:tc>
          <w:tcPr>
            <w:tcW w:w="0" w:type="auto"/>
            <w:hMerge/>
            <w:vAlign w:val="center"/>
          </w:tcPr>
          <w:p>
            <w:pPr/>
          </w:p>
        </w:tc>
        <w:tc>
          <w:tcPr>
            <w:tcW w:w="1276" w:type="dxa"/>
            <w:vAlign w:val="center"/>
          </w:tcPr>
          <w:p>
            <w:pPr>
              <w:pStyle w:val="单元格样式2"/>
            </w:pPr>
            <w:r>
              <w:t xml:space="preserve">≥90维修改造成本</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环境改善情况</w:t>
            </w:r>
          </w:p>
        </w:tc>
        <w:tc>
          <w:tcPr>
            <w:tcW w:w="2891" w:type="dxa"/>
            <w:hMerge w:val="restart"/>
            <w:vAlign w:val="center"/>
          </w:tcPr>
          <w:p>
            <w:pPr>
              <w:pStyle w:val="单元格样式2"/>
            </w:pPr>
            <w:r>
              <w:t xml:space="preserve">环境改善情况</w:t>
            </w:r>
          </w:p>
        </w:tc>
        <w:tc>
          <w:tcPr>
            <w:tcW w:w="0" w:type="auto"/>
            <w:hMerge/>
            <w:vAlign w:val="center"/>
          </w:tcPr>
          <w:p>
            <w:pPr/>
          </w:p>
        </w:tc>
        <w:tc>
          <w:tcPr>
            <w:tcW w:w="1276" w:type="dxa"/>
            <w:vAlign w:val="center"/>
          </w:tcPr>
          <w:p>
            <w:pPr>
              <w:pStyle w:val="单元格样式2"/>
            </w:pPr>
            <w:r>
              <w:t xml:space="preserve">≥90环境改善情况</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≥90项目实现功能</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≥90生态影响</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基本公共服务水平</w:t>
            </w:r>
          </w:p>
        </w:tc>
        <w:tc>
          <w:tcPr>
            <w:tcW w:w="2891" w:type="dxa"/>
            <w:hMerge w:val="restart"/>
            <w:vAlign w:val="center"/>
          </w:tcPr>
          <w:p>
            <w:pPr>
              <w:pStyle w:val="单元格样式2"/>
            </w:pPr>
            <w:r>
              <w:t xml:space="preserve">基本公共服务水平</w:t>
            </w:r>
          </w:p>
        </w:tc>
        <w:tc>
          <w:tcPr>
            <w:tcW w:w="0" w:type="auto"/>
            <w:hMerge/>
            <w:vAlign w:val="center"/>
          </w:tcPr>
          <w:p>
            <w:pPr/>
          </w:p>
        </w:tc>
        <w:tc>
          <w:tcPr>
            <w:tcW w:w="1276" w:type="dxa"/>
            <w:vAlign w:val="center"/>
          </w:tcPr>
          <w:p>
            <w:pPr>
              <w:pStyle w:val="单元格样式2"/>
            </w:pPr>
            <w:r>
              <w:t xml:space="preserve">≥90基本公共服务水平</w:t>
            </w:r>
          </w:p>
        </w:tc>
        <w:tc>
          <w:tcPr>
            <w:tcW w:w="1843" w:type="dxa"/>
            <w:vAlign w:val="center"/>
          </w:tcPr>
          <w:p>
            <w:pPr>
              <w:pStyle w:val="单元格样式2"/>
            </w:pPr>
            <w:r>
              <w:t xml:space="preserve">中华人民共和国文物保护法实施条例</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≥90服务对象满意度</w:t>
            </w:r>
          </w:p>
        </w:tc>
        <w:tc>
          <w:tcPr>
            <w:tcW w:w="1843" w:type="dxa"/>
            <w:vAlign w:val="center"/>
          </w:tcPr>
          <w:p>
            <w:pPr>
              <w:pStyle w:val="单元格样式2"/>
            </w:pPr>
            <w:r>
              <w:t xml:space="preserve">问卷</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2022-01-27T09:01:21Z</dcterms:modified>
</cp:coreProperties>
</file>