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冀财农[2022]144号杨五官屯村2023年一事一议财政奖补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冀财农[2022]144号杨五官屯村2023年一事一议财政奖补项目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冀财农[2022]144号杨五官屯村2023年一事一议财政奖补项目，做到专款专用。在执行过程中，采取切实可行的措施进行控制和监督。</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冀财农[2022]144号杨五官屯村2023年一事一议财政奖补项目</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冀财农[2022]144号杨五官屯村2023年一事一议财政奖补项目</w:t>
      </w:r>
      <w:bookmarkStart w:id="0" w:name="_GoBack"/>
      <w:bookmarkEnd w:id="0"/>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51D6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2024-04-23T01:09:37Z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