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村公共卫生防疫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玉田县亮甲店镇人民政府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贾洪权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0315-6442388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s="Arial Black"/>
          <w:kern w:val="0"/>
          <w:sz w:val="32"/>
          <w:szCs w:val="32"/>
        </w:rPr>
      </w:pPr>
      <w:bookmarkStart w:id="21" w:name="_Toc31309_WPSOffice_Level1"/>
      <w:r>
        <w:rPr>
          <w:rFonts w:hint="eastAsia" w:ascii="仿宋_GB2312" w:eastAsia="仿宋_GB2312" w:cs="Arial Black"/>
          <w:kern w:val="0"/>
          <w:sz w:val="32"/>
          <w:szCs w:val="32"/>
        </w:rPr>
        <w:t>为更好的贯彻落实党和国家在农村的方针政策和法律法规，做好做实农业、农村、农民工作，不断加强对农业和农村工作的领导，加强基层乡镇党组织和政权建设，强化经济服务职能，推动乡镇产业结构调整，增强公共财政服务职能，营造良好的发展环境，解决群众在生产生活中的问题，促进经济发展，增加农民收入，维护社会稳定，促进农村和谐。</w:t>
      </w:r>
    </w:p>
    <w:p>
      <w:pPr>
        <w:spacing w:line="580" w:lineRule="exact"/>
        <w:ind w:firstLine="640" w:firstLineChars="200"/>
        <w:rPr>
          <w:rFonts w:hint="eastAsia" w:ascii="仿宋_GB2312" w:eastAsia="仿宋_GB2312" w:cs="Arial Black"/>
          <w:kern w:val="0"/>
          <w:sz w:val="32"/>
          <w:szCs w:val="32"/>
        </w:rPr>
      </w:pPr>
      <w:r>
        <w:rPr>
          <w:rFonts w:hint="eastAsia" w:ascii="仿宋_GB2312" w:eastAsia="仿宋_GB2312" w:cs="Arial Black"/>
          <w:kern w:val="0"/>
          <w:sz w:val="32"/>
          <w:szCs w:val="32"/>
        </w:rPr>
        <w:t>以党中央的群众路线活动精神为指导，以解放思想大讨论为契机，按照加快全面建设小康社会和建立完善公共财政体系的要求，坚持“收入从实、支出从紧、艰苦奋斗、厉行节约”的原则，统筹兼顾，突出重点，优化结构，切实保证人员工资、津补贴和镇政府的正常运转等基本支出，继续突出对农业、社会保障、医疗卫生等民生重点支出，确保财政收支平衡，为全镇经济科学发展和促进和谐社会建设提供财力保障。</w:t>
      </w:r>
    </w:p>
    <w:p>
      <w:pPr>
        <w:spacing w:line="580" w:lineRule="exact"/>
        <w:ind w:firstLine="640" w:firstLineChars="200"/>
        <w:rPr>
          <w:rFonts w:hint="eastAsia" w:ascii="仿宋" w:hAnsi="仿宋" w:eastAsia="仿宋" w:cs="仿宋"/>
          <w:b/>
          <w:bCs/>
          <w:lang w:eastAsia="zh-CN"/>
        </w:rPr>
      </w:pPr>
      <w:r>
        <w:rPr>
          <w:rFonts w:hint="eastAsia" w:ascii="仿宋_GB2312" w:eastAsia="仿宋_GB2312" w:cs="Arial Black"/>
          <w:kern w:val="0"/>
          <w:sz w:val="32"/>
          <w:szCs w:val="32"/>
        </w:rPr>
        <w:t>根据上述职责和目标，以保障财政目标的实现，及政府工作的顺利开展，维护社会稳定，促进镇域经济的发展，</w:t>
      </w:r>
      <w:r>
        <w:rPr>
          <w:rFonts w:hint="eastAsia" w:ascii="仿宋_GB2312" w:eastAsia="仿宋_GB2312" w:cs="Arial Black"/>
          <w:kern w:val="0"/>
          <w:sz w:val="32"/>
          <w:szCs w:val="32"/>
          <w:lang w:val="en-US" w:eastAsia="zh-CN"/>
        </w:rPr>
        <w:t>负责财政预（决）算编制、预算执行和预算管理，统一管理本级各项政府性收支；负责国有资产和政府性债务管理，承担各项财政性资金监管工作</w:t>
      </w:r>
      <w:r>
        <w:rPr>
          <w:rFonts w:hint="eastAsia" w:ascii="仿宋_GB2312" w:eastAsia="仿宋_GB2312" w:cs="Arial Black"/>
          <w:kern w:val="0"/>
          <w:sz w:val="32"/>
          <w:szCs w:val="32"/>
        </w:rPr>
        <w:t>。</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村公共卫生防疫</w:t>
      </w:r>
      <w:r>
        <w:rPr>
          <w:rFonts w:hint="eastAsia" w:ascii="仿宋" w:hAnsi="仿宋" w:eastAsia="仿宋" w:cs="仿宋"/>
          <w:sz w:val="32"/>
          <w:szCs w:val="32"/>
          <w:lang w:eastAsia="zh-CN"/>
        </w:rPr>
        <w:t>。</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rPr>
      </w:pPr>
      <w:r>
        <w:rPr>
          <w:rFonts w:hint="eastAsia" w:ascii="仿宋_GB2312" w:eastAsia="仿宋_GB2312"/>
          <w:color w:val="auto"/>
          <w:sz w:val="32"/>
          <w:szCs w:val="32"/>
          <w:lang w:eastAsia="zh-CN"/>
        </w:rPr>
        <w:t>第一阶段是绩效计划，第二阶段是绩效实施，第三阶段是绩效考评，第四阶段是绩效的诊断辅导</w:t>
      </w:r>
    </w:p>
    <w:p>
      <w:pPr>
        <w:numPr>
          <w:ilvl w:val="0"/>
          <w:numId w:val="3"/>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本次绩效评价的局限性</w:t>
      </w:r>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lang w:eastAsia="zh-CN"/>
        </w:rPr>
      </w:pPr>
      <w:r>
        <w:rPr>
          <w:rFonts w:hint="eastAsia" w:ascii="仿宋_GB2312" w:eastAsia="仿宋_GB2312"/>
          <w:color w:val="auto"/>
          <w:sz w:val="32"/>
          <w:szCs w:val="32"/>
          <w:lang w:eastAsia="zh-CN"/>
        </w:rPr>
        <w:t>在项目预算决策流程设定过程中，通过对指标内容进行评价，加以科学评估，利用财务管理实现对预算项目的预测，从被预算项目资产情况等加以分析，实现对风险的防范</w:t>
      </w:r>
      <w:bookmarkStart w:id="26" w:name="_Toc22655_WPSOffice_Level1"/>
      <w:r>
        <w:rPr>
          <w:rFonts w:hint="eastAsia" w:ascii="仿宋_GB2312"/>
          <w:color w:val="auto"/>
          <w:sz w:val="32"/>
          <w:szCs w:val="32"/>
          <w:lang w:eastAsia="zh-CN"/>
        </w:rPr>
        <w:t>。</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40" w:firstLineChars="200"/>
        <w:outlineLvl w:val="0"/>
        <w:rPr>
          <w:rFonts w:hint="eastAsia" w:ascii="仿宋" w:hAnsi="仿宋" w:eastAsia="仿宋" w:cs="仿宋"/>
          <w:lang w:eastAsia="zh-CN"/>
        </w:rPr>
      </w:pPr>
      <w:r>
        <w:rPr>
          <w:rFonts w:hint="eastAsia" w:ascii="仿宋_GB2312" w:eastAsia="仿宋_GB2312"/>
          <w:sz w:val="32"/>
          <w:szCs w:val="32"/>
          <w:lang w:val="en-US" w:eastAsia="zh-CN"/>
        </w:rPr>
        <w:t>村公共卫生防疫</w:t>
      </w:r>
      <w:r>
        <w:rPr>
          <w:rFonts w:hint="eastAsia" w:ascii="仿宋_GB2312" w:eastAsia="仿宋_GB2312"/>
          <w:sz w:val="32"/>
          <w:szCs w:val="32"/>
        </w:rPr>
        <w:t>项目</w:t>
      </w:r>
      <w:r>
        <w:rPr>
          <w:rFonts w:hint="eastAsia" w:ascii="仿宋_GB2312" w:eastAsia="仿宋_GB2312"/>
          <w:sz w:val="32"/>
          <w:szCs w:val="32"/>
          <w:highlight w:val="none"/>
          <w:lang w:val="en-US" w:eastAsia="zh-CN"/>
        </w:rPr>
        <w:t>属于一次性项目。所有资金均实现了统筹规划、规范运作。严格执行相关的管理办法，实际支出与项目计划投入资金的用途相符。该项资金主要用于村公共卫生防疫，做到专款专用。在执行过程中，采取切实可行的措施进行控制和监督。</w:t>
      </w:r>
      <w:bookmarkStart w:id="28" w:name="_Toc22094_WPSOffice_Level2"/>
    </w:p>
    <w:p>
      <w:pPr>
        <w:numPr>
          <w:ilvl w:val="0"/>
          <w:numId w:val="4"/>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600" w:lineRule="exact"/>
        <w:ind w:firstLine="640" w:firstLineChars="200"/>
        <w:outlineLvl w:val="0"/>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根据县委、县政府2023年度计划目标，亮甲店镇政府2023年度将继续做好农业、农村、农民工作。加强经济服务职能强化公共服务、着力改善民生，促进安保、环保、安全生产和食药监管，加强社会管理、维护社会稳定，推进基层民主、促进农村和谐。</w:t>
      </w:r>
    </w:p>
    <w:p>
      <w:pPr>
        <w:spacing w:line="600" w:lineRule="exact"/>
        <w:ind w:firstLine="640" w:firstLineChars="200"/>
        <w:outlineLvl w:val="0"/>
        <w:rPr>
          <w:rFonts w:hint="eastAsia" w:ascii="仿宋_GB2312" w:hAnsi="Times New Roman" w:eastAsia="仿宋_GB2312" w:cs="Times New Roman"/>
          <w:sz w:val="32"/>
          <w:szCs w:val="32"/>
          <w:highlight w:val="none"/>
          <w:lang w:val="en-US" w:eastAsia="zh-CN"/>
        </w:rPr>
      </w:pPr>
    </w:p>
    <w:p>
      <w:pPr>
        <w:spacing w:line="600" w:lineRule="exact"/>
        <w:ind w:firstLine="640" w:firstLineChars="200"/>
        <w:outlineLvl w:val="0"/>
        <w:rPr>
          <w:rFonts w:hint="eastAsia" w:ascii="仿宋_GB2312" w:hAnsi="Times New Roman" w:eastAsia="仿宋_GB2312" w:cs="Times New Roman"/>
          <w:sz w:val="32"/>
          <w:szCs w:val="32"/>
          <w:highlight w:val="none"/>
          <w:lang w:val="en-US" w:eastAsia="zh-CN"/>
        </w:rPr>
      </w:pPr>
    </w:p>
    <w:p>
      <w:pPr>
        <w:spacing w:line="600" w:lineRule="exact"/>
        <w:ind w:firstLine="640" w:firstLineChars="200"/>
        <w:outlineLvl w:val="0"/>
        <w:rPr>
          <w:rFonts w:hint="eastAsia" w:ascii="仿宋_GB2312" w:hAnsi="Times New Roman" w:eastAsia="仿宋_GB2312" w:cs="Times New Roman"/>
          <w:sz w:val="32"/>
          <w:szCs w:val="32"/>
          <w:highlight w:val="none"/>
          <w:lang w:val="en-US" w:eastAsia="zh-CN"/>
        </w:rPr>
      </w:pPr>
    </w:p>
    <w:p>
      <w:pPr>
        <w:numPr>
          <w:ilvl w:val="0"/>
          <w:numId w:val="4"/>
        </w:numPr>
        <w:spacing w:line="600" w:lineRule="exact"/>
        <w:ind w:left="0" w:leftChars="0"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项目分项绩效目标</w:t>
      </w:r>
      <w:bookmarkEnd w:id="29"/>
    </w:p>
    <w:tbl>
      <w:tblPr>
        <w:tblStyle w:val="4"/>
        <w:tblW w:w="89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24"/>
        <w:gridCol w:w="1424"/>
        <w:gridCol w:w="4351"/>
        <w:gridCol w:w="1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5" w:hRule="atLeast"/>
        </w:trPr>
        <w:tc>
          <w:tcPr>
            <w:tcW w:w="14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一级指标</w:t>
            </w:r>
          </w:p>
        </w:tc>
        <w:tc>
          <w:tcPr>
            <w:tcW w:w="14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二级指标</w:t>
            </w:r>
          </w:p>
        </w:tc>
        <w:tc>
          <w:tcPr>
            <w:tcW w:w="435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三级指标</w:t>
            </w:r>
          </w:p>
        </w:tc>
        <w:tc>
          <w:tcPr>
            <w:tcW w:w="172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预期指标值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5" w:hRule="atLeast"/>
        </w:trPr>
        <w:tc>
          <w:tcPr>
            <w:tcW w:w="1424" w:type="dxa"/>
            <w:vMerge w:val="restart"/>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产出指标</w:t>
            </w:r>
          </w:p>
        </w:tc>
        <w:tc>
          <w:tcPr>
            <w:tcW w:w="14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数量指标</w:t>
            </w:r>
          </w:p>
        </w:tc>
        <w:tc>
          <w:tcPr>
            <w:tcW w:w="4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000000"/>
                <w:kern w:val="0"/>
                <w:sz w:val="16"/>
                <w:szCs w:val="16"/>
                <w:u w:val="none"/>
                <w:lang w:val="en-US" w:eastAsia="zh-CN" w:bidi="ar"/>
              </w:rPr>
              <w:t>突发公共卫生物资存储到位率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方正书宋_GBK" w:hAnsi="方正书宋_GBK" w:eastAsia="方正书宋_GBK" w:cs="方正书宋_GBK"/>
                <w:i w:val="0"/>
                <w:color w:val="auto"/>
                <w:sz w:val="21"/>
                <w:szCs w:val="21"/>
                <w:u w:val="none"/>
              </w:rPr>
            </w:pPr>
            <w:r>
              <w:rPr>
                <w:rFonts w:hint="default" w:ascii="方正书宋_GBK" w:hAnsi="方正书宋_GBK" w:eastAsia="方正书宋_GBK" w:cs="方正书宋_GBK"/>
                <w:i w:val="0"/>
                <w:color w:val="auto"/>
                <w:kern w:val="0"/>
                <w:sz w:val="21"/>
                <w:szCs w:val="21"/>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5" w:hRule="atLeast"/>
        </w:trPr>
        <w:tc>
          <w:tcPr>
            <w:tcW w:w="1424"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质量指标</w:t>
            </w:r>
          </w:p>
        </w:tc>
        <w:tc>
          <w:tcPr>
            <w:tcW w:w="4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000000"/>
                <w:kern w:val="0"/>
                <w:sz w:val="16"/>
                <w:szCs w:val="16"/>
                <w:u w:val="none"/>
                <w:lang w:val="en-US" w:eastAsia="zh-CN" w:bidi="ar"/>
              </w:rPr>
              <w:t>突发公共事件报告完整率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方正书宋_GBK" w:hAnsi="方正书宋_GBK" w:eastAsia="方正书宋_GBK" w:cs="方正书宋_GBK"/>
                <w:i w:val="0"/>
                <w:color w:val="auto"/>
                <w:sz w:val="21"/>
                <w:szCs w:val="21"/>
                <w:u w:val="none"/>
              </w:rPr>
            </w:pPr>
            <w:r>
              <w:rPr>
                <w:rFonts w:hint="default" w:ascii="方正书宋_GBK" w:hAnsi="方正书宋_GBK" w:eastAsia="方正书宋_GBK" w:cs="方正书宋_GBK"/>
                <w:i w:val="0"/>
                <w:color w:val="auto"/>
                <w:kern w:val="0"/>
                <w:sz w:val="21"/>
                <w:szCs w:val="21"/>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5" w:hRule="atLeast"/>
        </w:trPr>
        <w:tc>
          <w:tcPr>
            <w:tcW w:w="1424"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时效指标</w:t>
            </w:r>
          </w:p>
        </w:tc>
        <w:tc>
          <w:tcPr>
            <w:tcW w:w="4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000000"/>
                <w:kern w:val="0"/>
                <w:sz w:val="16"/>
                <w:szCs w:val="16"/>
                <w:u w:val="none"/>
                <w:lang w:val="en-US" w:eastAsia="zh-CN" w:bidi="ar"/>
              </w:rPr>
              <w:t>突发事件应急响应及时率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方正书宋_GBK" w:hAnsi="方正书宋_GBK" w:eastAsia="方正书宋_GBK" w:cs="方正书宋_GBK"/>
                <w:i w:val="0"/>
                <w:color w:val="auto"/>
                <w:sz w:val="21"/>
                <w:szCs w:val="21"/>
                <w:u w:val="none"/>
              </w:rPr>
            </w:pPr>
            <w:r>
              <w:rPr>
                <w:rFonts w:hint="default" w:ascii="方正书宋_GBK" w:hAnsi="方正书宋_GBK" w:eastAsia="方正书宋_GBK" w:cs="方正书宋_GBK"/>
                <w:i w:val="0"/>
                <w:color w:val="auto"/>
                <w:kern w:val="0"/>
                <w:sz w:val="21"/>
                <w:szCs w:val="21"/>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5" w:hRule="atLeast"/>
        </w:trPr>
        <w:tc>
          <w:tcPr>
            <w:tcW w:w="1424"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成本指标</w:t>
            </w:r>
          </w:p>
        </w:tc>
        <w:tc>
          <w:tcPr>
            <w:tcW w:w="4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000000"/>
                <w:kern w:val="0"/>
                <w:sz w:val="16"/>
                <w:szCs w:val="16"/>
                <w:u w:val="none"/>
                <w:lang w:val="en-US" w:eastAsia="zh-CN" w:bidi="ar"/>
              </w:rPr>
              <w:t>完成工作所需成本</w:t>
            </w:r>
          </w:p>
        </w:tc>
        <w:tc>
          <w:tcPr>
            <w:tcW w:w="1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方正书宋_GBK" w:hAnsi="方正书宋_GBK" w:eastAsia="方正书宋_GBK" w:cs="方正书宋_GBK"/>
                <w:i w:val="0"/>
                <w:color w:val="auto"/>
                <w:sz w:val="21"/>
                <w:szCs w:val="21"/>
                <w:u w:val="none"/>
              </w:rPr>
            </w:pPr>
            <w:r>
              <w:rPr>
                <w:rFonts w:hint="default" w:ascii="方正书宋_GBK" w:hAnsi="方正书宋_GBK" w:eastAsia="方正书宋_GBK" w:cs="方正书宋_GBK"/>
                <w:i w:val="0"/>
                <w:color w:val="auto"/>
                <w:kern w:val="0"/>
                <w:sz w:val="21"/>
                <w:szCs w:val="21"/>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5" w:hRule="atLeast"/>
        </w:trPr>
        <w:tc>
          <w:tcPr>
            <w:tcW w:w="1424" w:type="dxa"/>
            <w:vMerge w:val="restart"/>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效益指标</w:t>
            </w:r>
          </w:p>
        </w:tc>
        <w:tc>
          <w:tcPr>
            <w:tcW w:w="14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经济效益指标</w:t>
            </w:r>
          </w:p>
        </w:tc>
        <w:tc>
          <w:tcPr>
            <w:tcW w:w="4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000000"/>
                <w:kern w:val="0"/>
                <w:sz w:val="16"/>
                <w:szCs w:val="16"/>
                <w:u w:val="none"/>
                <w:lang w:val="en-US" w:eastAsia="zh-CN" w:bidi="ar"/>
              </w:rPr>
              <w:t>反映生活垃圾分类实施效果</w:t>
            </w:r>
          </w:p>
        </w:tc>
        <w:tc>
          <w:tcPr>
            <w:tcW w:w="1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方正书宋_GBK" w:hAnsi="方正书宋_GBK" w:eastAsia="方正书宋_GBK" w:cs="方正书宋_GBK"/>
                <w:i w:val="0"/>
                <w:color w:val="auto"/>
                <w:sz w:val="21"/>
                <w:szCs w:val="21"/>
                <w:u w:val="none"/>
              </w:rPr>
            </w:pPr>
            <w:r>
              <w:rPr>
                <w:rFonts w:hint="default" w:ascii="方正书宋_GBK" w:hAnsi="方正书宋_GBK" w:eastAsia="方正书宋_GBK" w:cs="方正书宋_GBK"/>
                <w:i w:val="0"/>
                <w:color w:val="auto"/>
                <w:kern w:val="0"/>
                <w:sz w:val="21"/>
                <w:szCs w:val="21"/>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5" w:hRule="atLeast"/>
        </w:trPr>
        <w:tc>
          <w:tcPr>
            <w:tcW w:w="1424"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社会效益指标</w:t>
            </w:r>
          </w:p>
        </w:tc>
        <w:tc>
          <w:tcPr>
            <w:tcW w:w="4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000000"/>
                <w:kern w:val="0"/>
                <w:sz w:val="16"/>
                <w:szCs w:val="16"/>
                <w:u w:val="none"/>
                <w:lang w:val="en-US" w:eastAsia="zh-CN" w:bidi="ar"/>
              </w:rPr>
              <w:t>维护农村和谐和稳定</w:t>
            </w:r>
          </w:p>
        </w:tc>
        <w:tc>
          <w:tcPr>
            <w:tcW w:w="1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方正书宋_GBK" w:hAnsi="方正书宋_GBK" w:eastAsia="方正书宋_GBK" w:cs="方正书宋_GBK"/>
                <w:i w:val="0"/>
                <w:color w:val="auto"/>
                <w:sz w:val="21"/>
                <w:szCs w:val="21"/>
                <w:u w:val="none"/>
              </w:rPr>
            </w:pPr>
            <w:r>
              <w:rPr>
                <w:rFonts w:hint="default" w:ascii="方正书宋_GBK" w:hAnsi="方正书宋_GBK" w:eastAsia="方正书宋_GBK" w:cs="方正书宋_GBK"/>
                <w:i w:val="0"/>
                <w:color w:val="auto"/>
                <w:kern w:val="0"/>
                <w:sz w:val="21"/>
                <w:szCs w:val="21"/>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5" w:hRule="atLeast"/>
        </w:trPr>
        <w:tc>
          <w:tcPr>
            <w:tcW w:w="1424"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生态效益指标</w:t>
            </w:r>
          </w:p>
        </w:tc>
        <w:tc>
          <w:tcPr>
            <w:tcW w:w="4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000000"/>
                <w:kern w:val="0"/>
                <w:sz w:val="16"/>
                <w:szCs w:val="16"/>
                <w:u w:val="none"/>
                <w:lang w:val="en-US" w:eastAsia="zh-CN" w:bidi="ar"/>
              </w:rPr>
              <w:t>生态环境质量改善</w:t>
            </w:r>
          </w:p>
        </w:tc>
        <w:tc>
          <w:tcPr>
            <w:tcW w:w="1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方正书宋_GBK" w:hAnsi="方正书宋_GBK" w:eastAsia="方正书宋_GBK" w:cs="方正书宋_GBK"/>
                <w:i w:val="0"/>
                <w:color w:val="auto"/>
                <w:sz w:val="21"/>
                <w:szCs w:val="21"/>
                <w:u w:val="none"/>
              </w:rPr>
            </w:pPr>
            <w:r>
              <w:rPr>
                <w:rFonts w:hint="default" w:ascii="方正书宋_GBK" w:hAnsi="方正书宋_GBK" w:eastAsia="方正书宋_GBK" w:cs="方正书宋_GBK"/>
                <w:i w:val="0"/>
                <w:color w:val="auto"/>
                <w:kern w:val="0"/>
                <w:sz w:val="21"/>
                <w:szCs w:val="21"/>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66" w:hRule="atLeast"/>
        </w:trPr>
        <w:tc>
          <w:tcPr>
            <w:tcW w:w="1424"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16"/>
                <w:szCs w:val="16"/>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可持续影响指标</w:t>
            </w:r>
          </w:p>
        </w:tc>
        <w:tc>
          <w:tcPr>
            <w:tcW w:w="4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000000"/>
                <w:kern w:val="0"/>
                <w:sz w:val="16"/>
                <w:szCs w:val="16"/>
                <w:u w:val="none"/>
                <w:lang w:val="en-US" w:eastAsia="zh-CN" w:bidi="ar"/>
              </w:rPr>
              <w:t>可持续性服务</w:t>
            </w:r>
          </w:p>
        </w:tc>
        <w:tc>
          <w:tcPr>
            <w:tcW w:w="1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方正书宋_GBK" w:hAnsi="方正书宋_GBK" w:eastAsia="方正书宋_GBK" w:cs="方正书宋_GBK"/>
                <w:i w:val="0"/>
                <w:color w:val="auto"/>
                <w:sz w:val="21"/>
                <w:szCs w:val="21"/>
                <w:u w:val="none"/>
              </w:rPr>
            </w:pPr>
            <w:r>
              <w:rPr>
                <w:rFonts w:hint="default" w:ascii="方正书宋_GBK" w:hAnsi="方正书宋_GBK" w:eastAsia="方正书宋_GBK" w:cs="方正书宋_GBK"/>
                <w:i w:val="0"/>
                <w:color w:val="auto"/>
                <w:kern w:val="0"/>
                <w:sz w:val="21"/>
                <w:szCs w:val="21"/>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4" w:hRule="atLeast"/>
        </w:trPr>
        <w:tc>
          <w:tcPr>
            <w:tcW w:w="142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满意度指标</w:t>
            </w:r>
          </w:p>
        </w:tc>
        <w:tc>
          <w:tcPr>
            <w:tcW w:w="14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auto"/>
                <w:kern w:val="0"/>
                <w:sz w:val="16"/>
                <w:szCs w:val="16"/>
                <w:u w:val="none"/>
                <w:lang w:val="en-US" w:eastAsia="zh-CN" w:bidi="ar"/>
              </w:rPr>
              <w:t>满意度指标</w:t>
            </w:r>
          </w:p>
        </w:tc>
        <w:tc>
          <w:tcPr>
            <w:tcW w:w="43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6"/>
                <w:szCs w:val="16"/>
                <w:u w:val="none"/>
              </w:rPr>
            </w:pPr>
            <w:r>
              <w:rPr>
                <w:rFonts w:hint="eastAsia" w:ascii="宋体" w:hAnsi="宋体" w:eastAsia="宋体" w:cs="宋体"/>
                <w:i w:val="0"/>
                <w:color w:val="000000"/>
                <w:kern w:val="0"/>
                <w:sz w:val="16"/>
                <w:szCs w:val="16"/>
                <w:u w:val="none"/>
                <w:lang w:val="en-US" w:eastAsia="zh-CN" w:bidi="ar"/>
              </w:rPr>
              <w:t>满意度</w:t>
            </w:r>
          </w:p>
        </w:tc>
        <w:tc>
          <w:tcPr>
            <w:tcW w:w="1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方正书宋_GBK" w:hAnsi="方正书宋_GBK" w:eastAsia="方正书宋_GBK" w:cs="方正书宋_GBK"/>
                <w:i w:val="0"/>
                <w:color w:val="auto"/>
                <w:sz w:val="21"/>
                <w:szCs w:val="21"/>
                <w:u w:val="none"/>
              </w:rPr>
            </w:pPr>
            <w:r>
              <w:rPr>
                <w:rFonts w:hint="default" w:ascii="方正书宋_GBK" w:hAnsi="方正书宋_GBK" w:eastAsia="方正书宋_GBK" w:cs="方正书宋_GBK"/>
                <w:i w:val="0"/>
                <w:color w:val="auto"/>
                <w:kern w:val="0"/>
                <w:sz w:val="21"/>
                <w:szCs w:val="21"/>
                <w:u w:val="none"/>
                <w:lang w:val="en-US" w:eastAsia="zh-CN" w:bidi="ar"/>
              </w:rPr>
              <w:t>≥95%</w:t>
            </w:r>
          </w:p>
        </w:tc>
      </w:tr>
    </w:tbl>
    <w:p>
      <w:pPr>
        <w:numPr>
          <w:ilvl w:val="0"/>
          <w:numId w:val="0"/>
        </w:numPr>
        <w:spacing w:line="600" w:lineRule="exact"/>
        <w:ind w:firstLine="300" w:firstLineChars="100"/>
        <w:rPr>
          <w:rFonts w:hint="eastAsia" w:ascii="仿宋" w:hAnsi="仿宋" w:eastAsia="仿宋" w:cs="仿宋"/>
          <w:lang w:eastAsia="zh-CN"/>
        </w:rPr>
      </w:pPr>
      <w:bookmarkStart w:id="30" w:name="_Toc14430_WPSOffice_Level1"/>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100</w:t>
      </w:r>
      <w:r>
        <w:rPr>
          <w:rFonts w:hint="eastAsia" w:ascii="仿宋" w:hAnsi="仿宋" w:eastAsia="仿宋" w:cs="仿宋"/>
          <w:sz w:val="32"/>
          <w:szCs w:val="32"/>
        </w:rPr>
        <w:t>分</w:t>
      </w:r>
      <w:r>
        <w:rPr>
          <w:rFonts w:hint="eastAsia" w:ascii="仿宋" w:hAnsi="仿宋" w:eastAsia="仿宋" w:cs="仿宋"/>
          <w:sz w:val="32"/>
          <w:szCs w:val="32"/>
          <w:lang w:eastAsia="zh-CN"/>
        </w:rPr>
        <w:t>，</w:t>
      </w:r>
      <w:r>
        <w:rPr>
          <w:rFonts w:hint="eastAsia" w:ascii="仿宋" w:hAnsi="仿宋" w:eastAsia="仿宋" w:cs="仿宋"/>
          <w:sz w:val="32"/>
          <w:szCs w:val="32"/>
        </w:rPr>
        <w:t>优秀。</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bookmarkStart w:id="38" w:name="_Toc7856_WPSOffice_Level1"/>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5"/>
        </w:numPr>
        <w:spacing w:line="600" w:lineRule="exact"/>
        <w:ind w:firstLine="602" w:firstLineChars="200"/>
        <w:rPr>
          <w:rFonts w:hint="eastAsia" w:ascii="仿宋" w:hAnsi="仿宋" w:eastAsia="仿宋" w:cs="仿宋"/>
          <w:b/>
          <w:bCs/>
        </w:rPr>
      </w:pPr>
      <w:r>
        <w:rPr>
          <w:rFonts w:hint="eastAsia" w:ascii="仿宋" w:hAnsi="仿宋" w:eastAsia="仿宋" w:cs="仿宋"/>
          <w:b/>
          <w:bCs/>
        </w:rPr>
        <w:t>其他需要说明的问题</w:t>
      </w:r>
      <w:bookmarkEnd w:id="38"/>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无。</w:t>
      </w: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Black">
    <w:panose1 w:val="020B0A04020102020204"/>
    <w:charset w:val="00"/>
    <w:family w:val="swiss"/>
    <w:pitch w:val="default"/>
    <w:sig w:usb0="A00002AF" w:usb1="400078FB" w:usb2="00000000" w:usb3="00000000" w:csb0="6000009F" w:csb1="DFD70000"/>
  </w:font>
  <w:font w:name="方正书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0D07D21C"/>
    <w:multiLevelType w:val="singleLevel"/>
    <w:tmpl w:val="0D07D21C"/>
    <w:lvl w:ilvl="0" w:tentative="0">
      <w:start w:val="4"/>
      <w:numFmt w:val="chineseCounting"/>
      <w:suff w:val="nothing"/>
      <w:lvlText w:val="（%1）"/>
      <w:lvlJc w:val="left"/>
      <w:rPr>
        <w:rFonts w:hint="eastAsia"/>
      </w:rPr>
    </w:lvl>
  </w:abstractNum>
  <w:abstractNum w:abstractNumId="3">
    <w:nsid w:val="51982DE8"/>
    <w:multiLevelType w:val="singleLevel"/>
    <w:tmpl w:val="51982DE8"/>
    <w:lvl w:ilvl="0" w:tentative="0">
      <w:start w:val="8"/>
      <w:numFmt w:val="chineseCounting"/>
      <w:suff w:val="nothing"/>
      <w:lvlText w:val="%1、"/>
      <w:lvlJc w:val="left"/>
      <w:rPr>
        <w:rFonts w:hint="eastAsia"/>
      </w:rPr>
    </w:lvl>
  </w:abstractNum>
  <w:abstractNum w:abstractNumId="4">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1A71258"/>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0</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Lenovo</cp:lastModifiedBy>
  <dcterms:modified xsi:type="dcterms:W3CDTF">2024-04-23T01:53:58Z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