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信访维稳经费属于经常性、连续性项目。所有资金均实现了统筹规划、规范运作。严格执行相关的管理办法，实际支出与项目计划投入资金的用途相符。该项资金主要用于信访维稳经费，做到专款专用。在执行过程中，采取切实可行的措施进行控制和监督。</w:t>
      </w:r>
      <w:r>
        <w:rPr>
          <w:rFonts w:hint="eastAsia" w:ascii="仿宋_GB2312" w:eastAsia="仿宋_GB2312"/>
          <w:sz w:val="32"/>
          <w:szCs w:val="32"/>
          <w:highlight w:val="none"/>
        </w:rPr>
        <w:t xml:space="preserve"> </w:t>
      </w:r>
    </w:p>
    <w:p>
      <w:pPr>
        <w:spacing w:line="400" w:lineRule="atLeas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年度将继续做好农业、农村、农民工作。加强经济服务职能强化公共服务、着力改善民生，加强社会管理、维护社会稳定，推进基层民主、促进农村和谐。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信访维稳</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实现全年信访维稳</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bookmarkStart w:id="0" w:name="_GoBack"/>
      <w:bookmarkEnd w:id="0"/>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26B82C02"/>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