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亮甲店镇人民政府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2023年韩家林一事一议财政奖补</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val="en-US" w:eastAsia="zh-CN"/>
        </w:rPr>
        <w:t>2023年度韩家林村一事一议财政奖补</w:t>
      </w:r>
      <w:r>
        <w:rPr>
          <w:rFonts w:hint="eastAsia" w:ascii="仿宋_GB2312" w:eastAsia="仿宋_GB2312"/>
          <w:sz w:val="32"/>
          <w:szCs w:val="32"/>
          <w:highlight w:val="none"/>
          <w:lang w:val="en-US" w:eastAsia="zh-CN"/>
        </w:rPr>
        <w:t>属于一次性项目。所有资金均实现了统筹规划、规范运作。严格执行相关的管理办法，实际支出与项目计划投入资金的用途相符。该项资金主要用于22023年韩家林一事一议财政奖补项目，做到专款专用。在执行过程中，采取切实可行的措施进行控制和监督。</w:t>
      </w:r>
    </w:p>
    <w:p>
      <w:pPr>
        <w:spacing w:line="400" w:lineRule="atLeast"/>
        <w:ind w:firstLine="960" w:firstLineChars="300"/>
        <w:rPr>
          <w:rFonts w:ascii="仿宋_GB2312" w:eastAsia="仿宋_GB2312"/>
          <w:sz w:val="32"/>
          <w:szCs w:val="32"/>
        </w:rPr>
      </w:pPr>
      <w:r>
        <w:rPr>
          <w:rFonts w:hint="eastAsia" w:ascii="仿宋_GB2312" w:eastAsia="仿宋_GB2312"/>
          <w:sz w:val="32"/>
          <w:szCs w:val="32"/>
        </w:rPr>
        <w:t>（二）项目绩效目标。包括总体目标和阶段性目标。</w:t>
      </w:r>
      <w:r>
        <w:rPr>
          <w:rFonts w:hint="eastAsia" w:ascii="仿宋_GB2312" w:eastAsia="仿宋_GB2312"/>
          <w:sz w:val="32"/>
          <w:szCs w:val="32"/>
          <w:highlight w:val="none"/>
        </w:rPr>
        <w:t>根据县委、县政府202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年度计划目标，</w:t>
      </w:r>
      <w:r>
        <w:rPr>
          <w:rFonts w:hint="eastAsia" w:ascii="仿宋_GB2312" w:eastAsia="仿宋_GB2312"/>
          <w:sz w:val="32"/>
          <w:szCs w:val="32"/>
          <w:highlight w:val="none"/>
          <w:lang w:val="en-US" w:eastAsia="zh-CN"/>
        </w:rPr>
        <w:t>亮甲店</w:t>
      </w:r>
      <w:r>
        <w:rPr>
          <w:rFonts w:hint="eastAsia" w:ascii="仿宋_GB2312" w:eastAsia="仿宋_GB2312"/>
          <w:sz w:val="32"/>
          <w:szCs w:val="32"/>
          <w:highlight w:val="none"/>
        </w:rPr>
        <w:t>镇政府202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年度将继续做好农业、农村、农民工作。加强经济服务职能强化公共服务、着力改善民生，加强社会管理、维护社会稳定，推进基层民主、促进农村和谐。</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）、绩效评价的目的。</w:t>
      </w:r>
    </w:p>
    <w:p>
      <w:pPr>
        <w:numPr>
          <w:ilvl w:val="0"/>
          <w:numId w:val="0"/>
        </w:numPr>
        <w:spacing w:line="240" w:lineRule="auto"/>
        <w:ind w:firstLine="960" w:firstLineChars="3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组织目标更加明确；能够更清晰的界定工作的内容与其需要达到的标准。</w:t>
      </w:r>
    </w:p>
    <w:p>
      <w:pPr>
        <w:numPr>
          <w:ilvl w:val="0"/>
          <w:numId w:val="2"/>
        </w:numPr>
        <w:spacing w:line="600" w:lineRule="exact"/>
        <w:ind w:left="638" w:leftChars="304" w:firstLine="0" w:firstLineChars="0"/>
        <w:jc w:val="both"/>
        <w:rPr>
          <w:rFonts w:hint="eastAsia" w:ascii="仿宋_GB2312" w:eastAsia="仿宋_GB2312"/>
          <w:sz w:val="32"/>
          <w:szCs w:val="32"/>
          <w:lang w:eastAsia="zh-CN"/>
        </w:rPr>
      </w:pPr>
      <w:r>
        <w:rPr>
          <w:rFonts w:hint="eastAsia" w:ascii="仿宋_GB2312" w:eastAsia="仿宋_GB2312"/>
          <w:sz w:val="32"/>
          <w:szCs w:val="32"/>
          <w:lang w:eastAsia="zh-CN"/>
        </w:rPr>
        <w:t>、绩效评价对象、范围。</w:t>
      </w:r>
    </w:p>
    <w:p>
      <w:pPr>
        <w:numPr>
          <w:ilvl w:val="0"/>
          <w:numId w:val="3"/>
        </w:numPr>
        <w:spacing w:line="240" w:lineRule="auto"/>
        <w:ind w:firstLine="960" w:firstLineChars="300"/>
        <w:jc w:val="both"/>
        <w:rPr>
          <w:rFonts w:hint="eastAsia" w:ascii="仿宋_GB2312" w:eastAsia="仿宋_GB2312"/>
          <w:sz w:val="32"/>
          <w:szCs w:val="32"/>
          <w:lang w:eastAsia="zh-CN"/>
        </w:rPr>
      </w:pPr>
      <w:r>
        <w:rPr>
          <w:rFonts w:hint="eastAsia" w:ascii="仿宋_GB2312" w:eastAsia="仿宋_GB2312"/>
          <w:sz w:val="32"/>
          <w:szCs w:val="32"/>
          <w:lang w:eastAsia="zh-CN"/>
        </w:rPr>
        <w:t>绩效目标与战略发展规划的适应性;</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2、</w:t>
      </w:r>
      <w:r>
        <w:rPr>
          <w:rFonts w:hint="eastAsia" w:ascii="仿宋_GB2312" w:eastAsia="仿宋_GB2312"/>
          <w:sz w:val="32"/>
          <w:szCs w:val="32"/>
          <w:lang w:eastAsia="zh-CN"/>
        </w:rPr>
        <w:t>财政资金使用情况、财务管理状况和资产配置、</w:t>
      </w:r>
    </w:p>
    <w:p>
      <w:pPr>
        <w:numPr>
          <w:ilvl w:val="0"/>
          <w:numId w:val="0"/>
        </w:numPr>
        <w:spacing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使用、处置及其收益管理情况;</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3、</w:t>
      </w:r>
      <w:r>
        <w:rPr>
          <w:rFonts w:hint="eastAsia" w:ascii="仿宋_GB2312" w:eastAsia="仿宋_GB2312"/>
          <w:sz w:val="32"/>
          <w:szCs w:val="32"/>
          <w:lang w:eastAsia="zh-CN"/>
        </w:rPr>
        <w:t>为加强管理所制定的相关制度、采取的措施等;</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绩效目标的实现程度，包括是否达到预定产出和</w:t>
      </w:r>
    </w:p>
    <w:p>
      <w:pPr>
        <w:numPr>
          <w:ilvl w:val="0"/>
          <w:numId w:val="0"/>
        </w:numPr>
        <w:spacing w:line="240" w:lineRule="auto"/>
        <w:jc w:val="both"/>
        <w:rPr>
          <w:rFonts w:hint="eastAsia" w:ascii="仿宋_GB2312" w:eastAsia="仿宋_GB2312"/>
          <w:sz w:val="32"/>
          <w:szCs w:val="32"/>
        </w:rPr>
      </w:pPr>
      <w:r>
        <w:rPr>
          <w:rFonts w:hint="eastAsia" w:ascii="仿宋_GB2312" w:eastAsia="仿宋_GB2312"/>
          <w:sz w:val="32"/>
          <w:szCs w:val="32"/>
          <w:lang w:eastAsia="zh-CN"/>
        </w:rPr>
        <w:t>效果等;</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5、</w:t>
      </w:r>
      <w:r>
        <w:rPr>
          <w:rFonts w:hint="eastAsia" w:ascii="仿宋_GB2312" w:eastAsia="仿宋_GB2312"/>
          <w:sz w:val="32"/>
          <w:szCs w:val="32"/>
          <w:lang w:eastAsia="zh-CN"/>
        </w:rPr>
        <w:t>需要评价的其他内容。</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left="319" w:leftChars="152" w:firstLine="640" w:firstLineChars="200"/>
        <w:jc w:val="both"/>
        <w:rPr>
          <w:rFonts w:hint="eastAsia" w:ascii="仿宋_GB2312" w:eastAsia="仿宋_GB2312"/>
          <w:sz w:val="32"/>
          <w:szCs w:val="32"/>
        </w:rPr>
      </w:pPr>
      <w:r>
        <w:rPr>
          <w:rFonts w:hint="eastAsia" w:ascii="仿宋_GB2312" w:eastAsia="仿宋_GB2312"/>
          <w:sz w:val="32"/>
          <w:szCs w:val="32"/>
          <w:lang w:eastAsia="zh-CN"/>
        </w:rPr>
        <w:t>1、工作标准法。把工作与制定的工作标准、劳动定额相对照。优点在于参照标准明确，评价结果易于作出。缺点在于标准制定难度较大，缺乏可量化的指标。</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2、排序法。把一定范围内的预算指标按照某一标准由高到低进行排列的一种绩效评价方法。其优点在于简便易行，避免了趋中误差，缺点是标准单一。</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3、硬性分布。此方法和排序法有一定程度的相似，是将限定范围的预算指标按照某一概率分布强制分布的一种方法，这种方法的优点是避免了大锅饭，缺点在于概率假设不一定合乎事实。</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目标管理法，其基本特点是考核者和被考核者一起制定预算目标，并且指导和协助其完成目标，并不断修正目标。这使考核者和被考核者的关系从单纯监督与被监督转变为顾问和促进者，促进了工作目标和绩效目标的实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left="319" w:leftChars="152" w:firstLine="640" w:firstLineChars="200"/>
        <w:jc w:val="both"/>
        <w:rPr>
          <w:rFonts w:hint="eastAsia" w:eastAsia="黑体"/>
          <w:sz w:val="32"/>
          <w:szCs w:val="32"/>
        </w:rPr>
      </w:pPr>
      <w:r>
        <w:rPr>
          <w:rFonts w:hint="eastAsia" w:ascii="仿宋_GB2312" w:eastAsia="仿宋_GB2312"/>
          <w:sz w:val="32"/>
          <w:szCs w:val="32"/>
          <w:highlight w:val="none"/>
          <w:lang w:val="en-US" w:eastAsia="zh-CN"/>
        </w:rPr>
        <w:t>2023年度韩家林一事一议财政奖补预算项目</w:t>
      </w:r>
      <w:bookmarkStart w:id="0" w:name="_GoBack"/>
      <w:bookmarkEnd w:id="0"/>
      <w:r>
        <w:rPr>
          <w:rFonts w:hint="eastAsia" w:ascii="仿宋_GB2312" w:eastAsia="仿宋_GB2312"/>
          <w:sz w:val="32"/>
          <w:szCs w:val="32"/>
          <w:highlight w:val="none"/>
          <w:lang w:eastAsia="zh-CN"/>
        </w:rPr>
        <w:t>执行率为</w:t>
      </w:r>
      <w:r>
        <w:rPr>
          <w:rFonts w:hint="eastAsia" w:ascii="仿宋_GB2312" w:eastAsia="仿宋_GB2312"/>
          <w:sz w:val="32"/>
          <w:szCs w:val="32"/>
          <w:highlight w:val="none"/>
          <w:lang w:val="en-US" w:eastAsia="zh-CN"/>
        </w:rPr>
        <w:t>100%。</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在项目预算决策流程设定过程中，应该加以科学评估，通过静态投资回收期、投资利润率、净现值、净现值率、获利指数、内部收益率等指标内容进行评价，必要的情况下，利用财务管理实现对预算项目的预测，从被预算项目资产情况等加以分析，实现对风险的防范。</w:t>
      </w:r>
    </w:p>
    <w:p>
      <w:pPr>
        <w:numPr>
          <w:ilvl w:val="0"/>
          <w:numId w:val="4"/>
        </w:num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（1）目标分解：把这一阶段或项目要达到的目标进行分解，使其更明朗、具体。</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（2）任务活动的确定：要达到预定的项目或阶段目标必须完成的任务和进行的活动。</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（3）任务分解和排序：分析各项任务的结构以及相互关系，按先后顺序排列。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（4）完成任务的时间估算：各项任务所需时间的估算。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（5）进度计划：根据对任务的分析和历时估计以及资源的要求，编制进度计划。</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（6）资源计划：确定完成各项任务所需的人员、资金、设备、原材料和技术等。</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（7）费用预算：根据各项活动所需的费用分配资金。</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val="en-US" w:eastAsia="zh-CN"/>
        </w:rPr>
        <w:t>（8）编成计划文档：汇总以上成果，编成文档。</w:t>
      </w:r>
    </w:p>
    <w:p>
      <w:pPr>
        <w:numPr>
          <w:ilvl w:val="0"/>
          <w:numId w:val="4"/>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）、项目需求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项目需求即项目建设最终应达到的目标或要求。本项目最终应达到的目标为按要求将生产津贴发放到位。</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sz w:val="32"/>
          <w:szCs w:val="32"/>
          <w:lang w:eastAsia="zh-CN"/>
        </w:rPr>
        <w:t>、项目成果</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eastAsia="zh-CN"/>
        </w:rPr>
        <w:t>项目成果是项目产出的直接结果，也是项目需求的直接</w:t>
      </w:r>
    </w:p>
    <w:p>
      <w:pPr>
        <w:numPr>
          <w:ilvl w:val="0"/>
          <w:numId w:val="0"/>
        </w:numPr>
        <w:spacing w:line="600" w:lineRule="exact"/>
        <w:outlineLvl w:val="0"/>
        <w:rPr>
          <w:rFonts w:hint="eastAsia" w:ascii="仿宋_GB2312" w:eastAsia="仿宋_GB2312"/>
          <w:sz w:val="32"/>
          <w:szCs w:val="32"/>
          <w:lang w:eastAsia="zh-CN"/>
        </w:rPr>
      </w:pPr>
      <w:r>
        <w:rPr>
          <w:rFonts w:hint="eastAsia" w:ascii="仿宋_GB2312" w:eastAsia="仿宋_GB2312"/>
          <w:sz w:val="32"/>
          <w:szCs w:val="32"/>
          <w:lang w:eastAsia="zh-CN"/>
        </w:rPr>
        <w:t>表现形式，本项目中项目产出的直接结果表现为项目建设成果。</w:t>
      </w:r>
    </w:p>
    <w:p>
      <w:pPr>
        <w:numPr>
          <w:ilvl w:val="0"/>
          <w:numId w:val="4"/>
        </w:numPr>
        <w:spacing w:line="600" w:lineRule="exact"/>
        <w:ind w:left="0" w:leftChars="0" w:firstLine="640" w:firstLineChars="200"/>
        <w:jc w:val="both"/>
        <w:rPr>
          <w:rFonts w:hint="eastAsia" w:ascii="仿宋_GB2312" w:eastAsia="仿宋_GB2312"/>
          <w:sz w:val="32"/>
          <w:szCs w:val="32"/>
        </w:rPr>
      </w:pPr>
      <w:r>
        <w:rPr>
          <w:rFonts w:hint="eastAsia" w:ascii="仿宋_GB2312" w:eastAsia="仿宋_GB2312"/>
          <w:sz w:val="32"/>
          <w:szCs w:val="32"/>
        </w:rPr>
        <w:t>项目效益情况。</w:t>
      </w:r>
    </w:p>
    <w:p>
      <w:pPr>
        <w:numPr>
          <w:ilvl w:val="0"/>
          <w:numId w:val="0"/>
        </w:numPr>
        <w:spacing w:line="600" w:lineRule="exact"/>
        <w:ind w:leftChars="200"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在项目预算决策流程设定过程中，通过对指标内容进行评价，加以科学评估，利用财务管理实现对预算项目的预测，从被预算项目资产情况等加以分析，实现对风险的防范。</w:t>
      </w:r>
    </w:p>
    <w:p>
      <w:pPr>
        <w:numPr>
          <w:ilvl w:val="0"/>
          <w:numId w:val="5"/>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ind w:firstLine="640" w:firstLineChars="200"/>
        <w:rPr>
          <w:rFonts w:hint="eastAsia" w:eastAsia="黑体"/>
          <w:sz w:val="32"/>
          <w:szCs w:val="32"/>
        </w:rPr>
      </w:pPr>
      <w:r>
        <w:rPr>
          <w:rFonts w:hint="eastAsia" w:ascii="仿宋_GB2312" w:eastAsia="仿宋_GB2312"/>
          <w:sz w:val="32"/>
          <w:szCs w:val="32"/>
          <w:lang w:eastAsia="zh-CN"/>
        </w:rPr>
        <w:t>保证产出指标，</w:t>
      </w:r>
      <w:r>
        <w:rPr>
          <w:rFonts w:hint="eastAsia" w:ascii="仿宋_GB2312" w:eastAsia="仿宋_GB2312"/>
          <w:sz w:val="32"/>
          <w:szCs w:val="32"/>
          <w:highlight w:val="none"/>
          <w:lang w:eastAsia="zh-CN"/>
        </w:rPr>
        <w:t>实现</w:t>
      </w:r>
      <w:r>
        <w:rPr>
          <w:rFonts w:hint="eastAsia" w:ascii="仿宋_GB2312" w:eastAsia="仿宋_GB2312"/>
          <w:sz w:val="32"/>
          <w:szCs w:val="32"/>
          <w:highlight w:val="none"/>
          <w:lang w:val="en-US" w:eastAsia="zh-CN"/>
        </w:rPr>
        <w:t>2023年度韩家林一事一议财政奖补项目</w:t>
      </w:r>
      <w:r>
        <w:rPr>
          <w:rFonts w:hint="eastAsia" w:ascii="仿宋_GB2312" w:eastAsia="仿宋_GB2312"/>
          <w:sz w:val="32"/>
          <w:szCs w:val="32"/>
          <w:lang w:eastAsia="zh-CN"/>
        </w:rPr>
        <w:t>按时发放，保证预算项目时效性，提高预算项目的社会效益指标、生态效益指标、可持续影响指标，提升服务对象的满意度。</w:t>
      </w:r>
    </w:p>
    <w:p>
      <w:pPr>
        <w:numPr>
          <w:ilvl w:val="0"/>
          <w:numId w:val="5"/>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ind w:firstLine="643" w:firstLineChars="200"/>
        <w:jc w:val="both"/>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
          <w:bCs w:val="0"/>
          <w:color w:val="333333"/>
          <w:sz w:val="32"/>
          <w:shd w:val="clear" w:color="auto" w:fill="FFFFFF"/>
          <w:lang w:val="en-US" w:eastAsia="zh-CN"/>
        </w:rPr>
        <w:t>（一）、提高全面预算管理的科学性。</w:t>
      </w:r>
      <w:r>
        <w:rPr>
          <w:rFonts w:hint="eastAsia" w:ascii="仿宋" w:hAnsi="仿宋" w:eastAsia="仿宋" w:cs="仿宋_GB2312"/>
          <w:bCs/>
          <w:color w:val="333333"/>
          <w:sz w:val="32"/>
          <w:shd w:val="clear" w:color="auto" w:fill="FFFFFF"/>
          <w:lang w:val="en-US" w:eastAsia="zh-CN"/>
        </w:rPr>
        <w:t>预算执行过程中存在着许多不确定因素，财务科室要加强与业务科室的协调沟通，实行动态管理、动态控制，执行结果与预算目标发生差异时，要认真分析、论证，根据实际情况适当调整预算。</w:t>
      </w:r>
    </w:p>
    <w:p>
      <w:pPr>
        <w:ind w:firstLine="643" w:firstLineChars="200"/>
        <w:rPr>
          <w:rFonts w:hint="eastAsia" w:eastAsia="黑体"/>
          <w:sz w:val="32"/>
          <w:szCs w:val="32"/>
        </w:rPr>
      </w:pPr>
      <w:r>
        <w:rPr>
          <w:rFonts w:hint="eastAsia" w:ascii="仿宋" w:hAnsi="仿宋" w:eastAsia="仿宋" w:cs="仿宋_GB2312"/>
          <w:b/>
          <w:bCs w:val="0"/>
          <w:color w:val="333333"/>
          <w:sz w:val="32"/>
          <w:shd w:val="clear" w:color="auto" w:fill="FFFFFF"/>
          <w:lang w:val="en-US" w:eastAsia="zh-CN"/>
        </w:rPr>
        <w:t>（二）、建立健全全面预算机制。</w:t>
      </w:r>
      <w:r>
        <w:rPr>
          <w:rFonts w:hint="eastAsia" w:ascii="仿宋" w:hAnsi="仿宋" w:eastAsia="仿宋" w:cs="仿宋_GB2312"/>
          <w:bCs/>
          <w:color w:val="333333"/>
          <w:sz w:val="32"/>
          <w:shd w:val="clear" w:color="auto" w:fill="FFFFFF"/>
          <w:lang w:val="en-US" w:eastAsia="zh-CN"/>
        </w:rPr>
        <w:t>全面梳理资金使用情况，根据单位现状查找原因，强化预算绩效管理，统筹安排专项资金，优化支出结构，增强专项资金安排的合理性，切实提高财政资金使用效率。</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Cs/>
          <w:color w:val="333333"/>
          <w:sz w:val="32"/>
          <w:shd w:val="clear" w:color="auto" w:fill="FFFFFF"/>
          <w:lang w:val="en-US" w:eastAsia="zh-CN"/>
        </w:rPr>
        <w:t>无。</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6751B7"/>
    <w:multiLevelType w:val="singleLevel"/>
    <w:tmpl w:val="AD6751B7"/>
    <w:lvl w:ilvl="0" w:tentative="0">
      <w:start w:val="2"/>
      <w:numFmt w:val="decimal"/>
      <w:suff w:val="nothing"/>
      <w:lvlText w:val="（%1）"/>
      <w:lvlJc w:val="left"/>
    </w:lvl>
  </w:abstractNum>
  <w:abstractNum w:abstractNumId="1">
    <w:nsid w:val="E951A620"/>
    <w:multiLevelType w:val="singleLevel"/>
    <w:tmpl w:val="E951A620"/>
    <w:lvl w:ilvl="0" w:tentative="0">
      <w:start w:val="2"/>
      <w:numFmt w:val="chineseCounting"/>
      <w:suff w:val="nothing"/>
      <w:lvlText w:val="（%1）"/>
      <w:lvlJc w:val="left"/>
      <w:rPr>
        <w:rFonts w:hint="eastAsia"/>
      </w:rPr>
    </w:lvl>
  </w:abstractNum>
  <w:abstractNum w:abstractNumId="2">
    <w:nsid w:val="5BB8E274"/>
    <w:multiLevelType w:val="singleLevel"/>
    <w:tmpl w:val="5BB8E274"/>
    <w:lvl w:ilvl="0" w:tentative="0">
      <w:start w:val="2"/>
      <w:numFmt w:val="chineseCounting"/>
      <w:suff w:val="nothing"/>
      <w:lvlText w:val="（%1）"/>
      <w:lvlJc w:val="left"/>
      <w:rPr>
        <w:rFonts w:hint="eastAsia"/>
      </w:rPr>
    </w:lvl>
  </w:abstractNum>
  <w:abstractNum w:abstractNumId="3">
    <w:nsid w:val="6F67D689"/>
    <w:multiLevelType w:val="singleLevel"/>
    <w:tmpl w:val="6F67D689"/>
    <w:lvl w:ilvl="0" w:tentative="0">
      <w:start w:val="5"/>
      <w:numFmt w:val="chineseCounting"/>
      <w:suff w:val="nothing"/>
      <w:lvlText w:val="%1、"/>
      <w:lvlJc w:val="left"/>
      <w:rPr>
        <w:rFonts w:hint="eastAsia"/>
      </w:rPr>
    </w:lvl>
  </w:abstractNum>
  <w:abstractNum w:abstractNumId="4">
    <w:nsid w:val="6FB2432B"/>
    <w:multiLevelType w:val="singleLevel"/>
    <w:tmpl w:val="6FB2432B"/>
    <w:lvl w:ilvl="0" w:tentative="0">
      <w:start w:val="1"/>
      <w:numFmt w:val="decimal"/>
      <w:suff w:val="nothing"/>
      <w:lvlText w:val="%1、"/>
      <w:lvlJc w:val="left"/>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180B6CE5"/>
    <w:rsid w:val="3F1E16CE"/>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2024-04-23T01:30:54Z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