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乡村振兴、人居环境整治、脱贫攻坚等</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240" w:lineRule="atLeast"/>
        <w:ind w:firstLine="640" w:firstLineChars="200"/>
        <w:jc w:val="left"/>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highlight w:val="none"/>
        </w:rPr>
        <w:t>为</w:t>
      </w:r>
      <w:r>
        <w:rPr>
          <w:rFonts w:hint="default" w:ascii="仿宋_GB2312" w:eastAsia="仿宋_GB2312"/>
          <w:sz w:val="32"/>
          <w:szCs w:val="32"/>
          <w:highlight w:val="none"/>
        </w:rPr>
        <w:t>加快推进美丽乡村建设，努力实现宜居宜业宜游的美丽乡村</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提升</w:t>
      </w:r>
      <w:r>
        <w:rPr>
          <w:rFonts w:hint="eastAsia" w:ascii="仿宋_GB2312" w:eastAsia="仿宋_GB2312"/>
          <w:sz w:val="32"/>
          <w:szCs w:val="32"/>
          <w:highlight w:val="none"/>
        </w:rPr>
        <w:t>环境卫生整体面貌良好，主干道干净整洁，村居常态化保洁，无垃圾乱堆的目标。</w:t>
      </w:r>
    </w:p>
    <w:p>
      <w:pPr>
        <w:spacing w:line="400" w:lineRule="atLeast"/>
        <w:ind w:firstLine="960" w:firstLineChars="300"/>
        <w:rPr>
          <w:rFonts w:ascii="仿宋_GB2312" w:eastAsia="仿宋_GB2312"/>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val="en-US" w:eastAsia="zh-CN"/>
        </w:rPr>
        <w:t>乡村振兴、人居环境整治、脱贫攻坚</w:t>
      </w:r>
      <w:r>
        <w:rPr>
          <w:rFonts w:hint="eastAsia" w:ascii="仿宋_GB2312" w:eastAsia="仿宋_GB2312"/>
          <w:sz w:val="32"/>
          <w:szCs w:val="32"/>
          <w:highlight w:val="none"/>
          <w:lang w:eastAsia="zh-CN"/>
        </w:rPr>
        <w:t>预算项目执行率为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w:t>
      </w:r>
      <w:r>
        <w:rPr>
          <w:rFonts w:hint="eastAsia" w:ascii="仿宋_GB2312" w:eastAsia="仿宋_GB2312"/>
          <w:sz w:val="32"/>
          <w:szCs w:val="32"/>
          <w:highlight w:val="none"/>
          <w:lang w:val="en-US" w:eastAsia="zh-CN"/>
        </w:rPr>
        <w:t>乡村振兴、人居环境整治、脱贫攻坚项目</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bookmarkStart w:id="0" w:name="_GoBack"/>
      <w:bookmarkEnd w:id="0"/>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63AF0C61"/>
    <w:rsid w:val="6CFA3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2024-04-23T01:24:58Z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