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eastAsia="zh-CN"/>
        </w:rPr>
        <w:t>综合服务站建设及运转</w:t>
      </w:r>
      <w:r>
        <w:rPr>
          <w:rFonts w:hint="eastAsia" w:ascii="仿宋_GB2312" w:eastAsia="仿宋_GB2312"/>
          <w:sz w:val="32"/>
          <w:szCs w:val="32"/>
          <w:highlight w:val="none"/>
          <w:lang w:val="en-US" w:eastAsia="zh-CN"/>
        </w:rPr>
        <w:t>经费属于经常性、连续性项目。所有资金均实现了统筹规划、规范运作。严格执行相关的管理办法，实际支出与项目计划投入资金的用途相符。该项资金主要用于</w:t>
      </w:r>
      <w:r>
        <w:rPr>
          <w:rFonts w:hint="eastAsia" w:ascii="仿宋_GB2312" w:eastAsia="仿宋_GB2312"/>
          <w:sz w:val="32"/>
          <w:szCs w:val="32"/>
          <w:highlight w:val="none"/>
          <w:lang w:eastAsia="zh-CN"/>
        </w:rPr>
        <w:t>综合服务站建设及运转</w:t>
      </w:r>
      <w:r>
        <w:rPr>
          <w:rFonts w:hint="eastAsia" w:ascii="仿宋_GB2312" w:eastAsia="仿宋_GB2312"/>
          <w:sz w:val="32"/>
          <w:szCs w:val="32"/>
          <w:highlight w:val="none"/>
          <w:lang w:val="en-US" w:eastAsia="zh-CN"/>
        </w:rPr>
        <w:t>经费，做到专款专用。在执行过程中，采取切实可行的措施进行控制和监督。</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400" w:lineRule="atLeas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亮甲店镇</w:t>
      </w:r>
      <w:r>
        <w:rPr>
          <w:rFonts w:hint="eastAsia" w:ascii="仿宋_GB2312" w:eastAsia="仿宋_GB2312"/>
          <w:sz w:val="32"/>
          <w:szCs w:val="32"/>
          <w:highlight w:val="none"/>
        </w:rPr>
        <w:t>政府20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年度将继续做好农业、农村、农民工作。加强经济服务职能强化公共服务、着力改善民生，加强社会管理、维护社会稳定，推进基层民主、促进农村和谐</w:t>
      </w:r>
      <w:r>
        <w:rPr>
          <w:rFonts w:ascii="宋体" w:hAnsi="宋体"/>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3"/>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4"/>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left="319" w:leftChars="152"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村综合服务站预算项目执行率为</w:t>
      </w:r>
      <w:r>
        <w:rPr>
          <w:rFonts w:hint="eastAsia" w:ascii="仿宋_GB2312" w:eastAsia="仿宋_GB2312"/>
          <w:sz w:val="32"/>
          <w:szCs w:val="32"/>
          <w:highlight w:val="none"/>
          <w:lang w:val="en-US" w:eastAsia="zh-CN"/>
        </w:rPr>
        <w:t>10</w:t>
      </w:r>
      <w:bookmarkStart w:id="0" w:name="_GoBack"/>
      <w:bookmarkEnd w:id="0"/>
      <w:r>
        <w:rPr>
          <w:rFonts w:hint="eastAsia" w:ascii="仿宋_GB2312" w:eastAsia="仿宋_GB2312"/>
          <w:sz w:val="32"/>
          <w:szCs w:val="32"/>
          <w:highlight w:val="none"/>
          <w:lang w:val="en-US" w:eastAsia="zh-CN"/>
        </w:rPr>
        <w:t>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5"/>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5"/>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5"/>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6"/>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实现全年综合服务站建设及运转</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6"/>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3053CDC"/>
    <w:multiLevelType w:val="singleLevel"/>
    <w:tmpl w:val="53053CDC"/>
    <w:lvl w:ilvl="0" w:tentative="0">
      <w:start w:val="2"/>
      <w:numFmt w:val="chineseCounting"/>
      <w:suff w:val="nothing"/>
      <w:lvlText w:val="（%1）"/>
      <w:lvlJc w:val="left"/>
      <w:rPr>
        <w:rFonts w:hint="eastAsia"/>
      </w:rPr>
    </w:lvl>
  </w:abstractNum>
  <w:abstractNum w:abstractNumId="3">
    <w:nsid w:val="5BB8E274"/>
    <w:multiLevelType w:val="singleLevel"/>
    <w:tmpl w:val="5BB8E274"/>
    <w:lvl w:ilvl="0" w:tentative="0">
      <w:start w:val="2"/>
      <w:numFmt w:val="chineseCounting"/>
      <w:suff w:val="nothing"/>
      <w:lvlText w:val="（%1）"/>
      <w:lvlJc w:val="left"/>
      <w:rPr>
        <w:rFonts w:hint="eastAsia"/>
      </w:rPr>
    </w:lvl>
  </w:abstractNum>
  <w:abstractNum w:abstractNumId="4">
    <w:nsid w:val="6F67D689"/>
    <w:multiLevelType w:val="singleLevel"/>
    <w:tmpl w:val="6F67D689"/>
    <w:lvl w:ilvl="0" w:tentative="0">
      <w:start w:val="5"/>
      <w:numFmt w:val="chineseCounting"/>
      <w:suff w:val="nothing"/>
      <w:lvlText w:val="%1、"/>
      <w:lvlJc w:val="left"/>
      <w:rPr>
        <w:rFonts w:hint="eastAsia"/>
      </w:rPr>
    </w:lvl>
  </w:abstractNum>
  <w:abstractNum w:abstractNumId="5">
    <w:nsid w:val="6FB2432B"/>
    <w:multiLevelType w:val="singleLevel"/>
    <w:tmpl w:val="6FB2432B"/>
    <w:lvl w:ilvl="0" w:tentative="0">
      <w:start w:val="1"/>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E7D654F"/>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2024-04-22T08:42:28Z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