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村公共卫生防疫</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lang w:val="en-US" w:eastAsia="zh-CN"/>
        </w:rPr>
        <w:t>村公共卫生防疫</w:t>
      </w:r>
      <w:r>
        <w:rPr>
          <w:rFonts w:hint="eastAsia" w:ascii="仿宋_GB2312" w:eastAsia="仿宋_GB2312"/>
          <w:sz w:val="32"/>
          <w:szCs w:val="32"/>
        </w:rPr>
        <w:t>项目</w:t>
      </w:r>
      <w:r>
        <w:rPr>
          <w:rFonts w:hint="eastAsia" w:ascii="仿宋_GB2312" w:eastAsia="仿宋_GB2312"/>
          <w:sz w:val="32"/>
          <w:szCs w:val="32"/>
          <w:highlight w:val="none"/>
          <w:lang w:val="en-US" w:eastAsia="zh-CN"/>
        </w:rPr>
        <w:t>属于一次性项目。所有资金均实现了统筹规划、规范运作。严格执行相关的管理办法，实际支出与项目计划投入资金的用途相符。该项资金主要用于村公共卫生防疫，做到专款专用。在执行过程中，采取切实可行的措施进行控制和监督。</w:t>
      </w:r>
    </w:p>
    <w:p>
      <w:pPr>
        <w:spacing w:line="400" w:lineRule="atLeast"/>
        <w:ind w:firstLine="960" w:firstLineChars="300"/>
        <w:rPr>
          <w:rFonts w:ascii="宋体" w:hAnsi="宋体"/>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）项目绩效目标。</w:t>
      </w:r>
      <w:r>
        <w:rPr>
          <w:rFonts w:hint="eastAsia" w:ascii="仿宋_GB2312" w:eastAsia="仿宋_GB2312"/>
          <w:sz w:val="32"/>
          <w:szCs w:val="32"/>
          <w:highlight w:val="none"/>
        </w:rPr>
        <w:t>包括总体目标和阶段性目标。根据县委、县政府202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lang w:val="en-US" w:eastAsia="zh-CN"/>
        </w:rPr>
        <w:t>预算项目</w:t>
      </w:r>
      <w:bookmarkStart w:id="0" w:name="_GoBack"/>
      <w:bookmarkEnd w:id="0"/>
      <w:r>
        <w:rPr>
          <w:rFonts w:hint="eastAsia" w:ascii="仿宋_GB2312" w:eastAsia="仿宋_GB2312"/>
          <w:sz w:val="32"/>
          <w:szCs w:val="32"/>
          <w:highlight w:val="none"/>
          <w:lang w:eastAsia="zh-CN"/>
        </w:rPr>
        <w:t>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left="319" w:leftChars="152"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实现村公共卫生防疫全覆盖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63AF0C61"/>
    <w:rsid w:val="6ABE68EA"/>
    <w:rsid w:val="6F9D14C1"/>
    <w:rsid w:val="78C83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2024-04-23T01:34:20Z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