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rPr>
      </w:pPr>
    </w:p>
    <w:p>
      <w:pPr>
        <w:widowControl/>
        <w:spacing w:line="600" w:lineRule="exact"/>
        <w:jc w:val="center"/>
        <w:rPr>
          <w:rFonts w:hint="default" w:ascii="方正小标宋_GBK" w:hAnsi="宋体" w:eastAsia="方正小标宋_GBK" w:cs="宋体"/>
          <w:bCs/>
          <w:kern w:val="0"/>
          <w:sz w:val="44"/>
          <w:szCs w:val="44"/>
          <w:lang w:val="en-US" w:eastAsia="zh-CN"/>
        </w:rPr>
      </w:pPr>
      <w:r>
        <w:rPr>
          <w:rFonts w:hint="eastAsia" w:ascii="方正小标宋_GBK" w:hAnsi="宋体" w:eastAsia="方正小标宋_GBK" w:cs="宋体"/>
          <w:bCs/>
          <w:kern w:val="0"/>
          <w:sz w:val="44"/>
          <w:szCs w:val="44"/>
          <w:lang w:eastAsia="zh-CN"/>
        </w:rPr>
        <w:t>玉田县彩亭桥镇人民政府</w:t>
      </w:r>
    </w:p>
    <w:p>
      <w:pPr>
        <w:widowControl/>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lang w:eastAsia="zh-CN"/>
        </w:rPr>
        <w:t>村公共卫生防疫</w:t>
      </w:r>
      <w:r>
        <w:rPr>
          <w:rFonts w:hint="eastAsia" w:ascii="方正小标宋_GBK" w:hAnsi="宋体" w:eastAsia="方正小标宋_GBK" w:cs="宋体"/>
          <w:bCs/>
          <w:kern w:val="0"/>
          <w:sz w:val="44"/>
          <w:szCs w:val="44"/>
        </w:rPr>
        <w:t>项目支出绩效评价报告</w:t>
      </w:r>
    </w:p>
    <w:p>
      <w:pPr>
        <w:spacing w:line="600" w:lineRule="exact"/>
        <w:ind w:firstLine="640" w:firstLineChars="200"/>
        <w:rPr>
          <w:rFonts w:hint="eastAsia" w:ascii="仿宋_GB2312" w:eastAsia="仿宋_GB2312"/>
          <w:sz w:val="32"/>
          <w:szCs w:val="32"/>
        </w:rPr>
      </w:pPr>
    </w:p>
    <w:p>
      <w:pPr>
        <w:spacing w:line="600" w:lineRule="exact"/>
        <w:ind w:firstLine="640" w:firstLineChars="200"/>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1</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（一）项目概况。</w:t>
      </w:r>
      <w:r>
        <w:rPr>
          <w:rFonts w:hint="eastAsia" w:ascii="仿宋_GB2312" w:eastAsia="仿宋_GB2312"/>
          <w:sz w:val="32"/>
          <w:szCs w:val="32"/>
          <w:lang w:eastAsia="zh-CN"/>
        </w:rPr>
        <w:t>村公共卫生防疫</w:t>
      </w:r>
      <w:r>
        <w:rPr>
          <w:rFonts w:hint="eastAsia" w:ascii="仿宋_GB2312" w:eastAsia="仿宋_GB2312"/>
          <w:sz w:val="32"/>
          <w:szCs w:val="32"/>
        </w:rPr>
        <w:t>项目</w:t>
      </w:r>
      <w:r>
        <w:rPr>
          <w:rFonts w:hint="eastAsia" w:ascii="仿宋_GB2312" w:eastAsia="仿宋_GB2312"/>
          <w:sz w:val="32"/>
          <w:szCs w:val="32"/>
          <w:lang w:eastAsia="zh-CN"/>
        </w:rPr>
        <w:t>为保障我镇用于村公共卫生防疫工作设立的专项</w:t>
      </w:r>
      <w:r>
        <w:rPr>
          <w:rFonts w:hint="eastAsia" w:ascii="仿宋_GB2312" w:eastAsia="仿宋_GB2312"/>
          <w:sz w:val="32"/>
          <w:szCs w:val="32"/>
        </w:rPr>
        <w:t>经费，主要用于保障</w:t>
      </w:r>
      <w:r>
        <w:rPr>
          <w:rFonts w:hint="eastAsia" w:ascii="仿宋_GB2312" w:eastAsia="仿宋_GB2312"/>
          <w:sz w:val="32"/>
          <w:szCs w:val="32"/>
          <w:lang w:eastAsia="zh-CN"/>
        </w:rPr>
        <w:t>防疫</w:t>
      </w:r>
      <w:r>
        <w:rPr>
          <w:rFonts w:hint="eastAsia" w:ascii="仿宋_GB2312" w:eastAsia="仿宋_GB2312"/>
          <w:sz w:val="32"/>
          <w:szCs w:val="32"/>
        </w:rPr>
        <w:t>工作顺利开展。</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（二）项目绩效目标。总体绩效目标是确保我镇保障</w:t>
      </w:r>
      <w:r>
        <w:rPr>
          <w:rFonts w:hint="eastAsia" w:ascii="仿宋_GB2312" w:eastAsia="仿宋_GB2312"/>
          <w:sz w:val="32"/>
          <w:szCs w:val="32"/>
          <w:lang w:eastAsia="zh-CN"/>
        </w:rPr>
        <w:t>防疫</w:t>
      </w:r>
      <w:r>
        <w:rPr>
          <w:rFonts w:hint="eastAsia" w:ascii="仿宋_GB2312" w:eastAsia="仿宋_GB2312"/>
          <w:sz w:val="32"/>
          <w:szCs w:val="32"/>
        </w:rPr>
        <w:t>工作顺利开展</w:t>
      </w:r>
      <w:bookmarkStart w:id="0" w:name="_GoBack"/>
      <w:bookmarkEnd w:id="0"/>
      <w:r>
        <w:rPr>
          <w:rFonts w:hint="eastAsia" w:ascii="仿宋_GB2312" w:eastAsia="仿宋_GB2312"/>
          <w:sz w:val="32"/>
          <w:szCs w:val="32"/>
        </w:rPr>
        <w:t>，有足够的人员等进行政策落实工作。阶段性目标是按照季节及政策环境的变化能够分阶段开展工作。</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任组长，由办公室主任、业务科科长、资金使用科科长共3人组成部门绩效评价小组，负责绩效评价具体工作。评价小组认真学习绩效评价相关文件以及我局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numPr>
          <w:ilvl w:val="0"/>
          <w:numId w:val="1"/>
        </w:num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绩效评价目的、对象和范围</w:t>
      </w:r>
    </w:p>
    <w:p>
      <w:pPr>
        <w:spacing w:line="600" w:lineRule="exact"/>
        <w:ind w:firstLine="640" w:firstLineChars="200"/>
        <w:rPr>
          <w:rFonts w:hint="eastAsia" w:ascii="仿宋_GB2312" w:eastAsia="仿宋_GB2312"/>
          <w:sz w:val="32"/>
          <w:szCs w:val="32"/>
          <w:lang w:eastAsia="zh-CN"/>
        </w:rPr>
      </w:pPr>
      <w:r>
        <w:rPr>
          <w:rFonts w:hint="eastAsia" w:ascii="仿宋_GB2312" w:eastAsia="仿宋_GB2312"/>
          <w:sz w:val="32"/>
          <w:szCs w:val="32"/>
        </w:rPr>
        <w:t>绩效评价是为了能够让工作顺利的开展，有考核性质，提高工作人员工作积极性和主动性。绩效评价对象和范围主要是项目主要针对的方面的工作改善情况及日常工作的进行情况，以及工作人员的工作状态</w:t>
      </w:r>
      <w:r>
        <w:rPr>
          <w:rFonts w:hint="eastAsia" w:ascii="仿宋_GB2312" w:eastAsia="仿宋_GB2312"/>
          <w:sz w:val="32"/>
          <w:szCs w:val="32"/>
          <w:lang w:eastAsia="zh-CN"/>
        </w:rPr>
        <w:t>。</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（三）绩效评价原则是按照项目的可行性及可实施性和具体的实施过程进行评价具体评价指标体系及评价标准见附表。</w:t>
      </w:r>
    </w:p>
    <w:p>
      <w:pPr>
        <w:spacing w:line="600" w:lineRule="exact"/>
        <w:ind w:firstLine="640" w:firstLineChars="200"/>
        <w:rPr>
          <w:rFonts w:ascii="仿宋_GB2312" w:eastAsia="仿宋_GB2312"/>
          <w:sz w:val="32"/>
          <w:szCs w:val="32"/>
        </w:rPr>
      </w:pPr>
    </w:p>
    <w:p>
      <w:pPr>
        <w:numPr>
          <w:ilvl w:val="0"/>
          <w:numId w:val="2"/>
        </w:numPr>
        <w:spacing w:line="600" w:lineRule="exact"/>
        <w:ind w:firstLine="640" w:firstLineChars="200"/>
        <w:rPr>
          <w:rFonts w:hint="eastAsia" w:eastAsia="黑体"/>
          <w:sz w:val="32"/>
          <w:szCs w:val="32"/>
        </w:rPr>
      </w:pPr>
      <w:r>
        <w:rPr>
          <w:rFonts w:hint="eastAsia" w:eastAsia="黑体"/>
          <w:sz w:val="32"/>
          <w:szCs w:val="32"/>
        </w:rPr>
        <w:t>综合评价情况及评价结论</w:t>
      </w:r>
    </w:p>
    <w:p>
      <w:pPr>
        <w:spacing w:line="600" w:lineRule="exact"/>
        <w:ind w:firstLine="640" w:firstLineChars="200"/>
        <w:rPr>
          <w:rFonts w:eastAsia="黑体"/>
          <w:sz w:val="32"/>
          <w:szCs w:val="32"/>
        </w:rPr>
      </w:pPr>
      <w:r>
        <w:rPr>
          <w:rFonts w:hint="eastAsia" w:ascii="仿宋_GB2312" w:eastAsia="仿宋_GB2312"/>
          <w:sz w:val="32"/>
          <w:szCs w:val="32"/>
        </w:rPr>
        <w:t>项目有实施的必要性，且本项目是经县委县政府批准的日常性项目，为机关运转必要项目。</w:t>
      </w:r>
    </w:p>
    <w:p>
      <w:pPr>
        <w:spacing w:line="600" w:lineRule="exact"/>
        <w:ind w:firstLine="640" w:firstLineChars="200"/>
        <w:rPr>
          <w:rFonts w:eastAsia="黑体"/>
          <w:sz w:val="32"/>
          <w:szCs w:val="32"/>
        </w:rPr>
      </w:pPr>
      <w:r>
        <w:rPr>
          <w:rFonts w:hint="eastAsia" w:eastAsia="黑体"/>
          <w:sz w:val="32"/>
          <w:szCs w:val="32"/>
        </w:rPr>
        <w:t>四、绩效评价指标分析</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（一）项目决策情况。项目由县委县政府统一安排实施，已经过论证可行性。</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（二）项目过程情况。项目为</w:t>
      </w:r>
      <w:r>
        <w:rPr>
          <w:rFonts w:hint="eastAsia" w:ascii="仿宋_GB2312" w:eastAsia="仿宋_GB2312"/>
          <w:sz w:val="32"/>
          <w:szCs w:val="32"/>
          <w:lang w:eastAsia="zh-CN"/>
        </w:rPr>
        <w:t>疫情防控</w:t>
      </w:r>
      <w:r>
        <w:rPr>
          <w:rFonts w:hint="eastAsia" w:ascii="仿宋_GB2312" w:eastAsia="仿宋_GB2312"/>
          <w:sz w:val="32"/>
          <w:szCs w:val="32"/>
        </w:rPr>
        <w:t>工作顺利开展项目，贯穿全年。</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（三）项目产出情况。确保了镇区</w:t>
      </w:r>
      <w:r>
        <w:rPr>
          <w:rFonts w:hint="eastAsia" w:ascii="仿宋_GB2312" w:eastAsia="仿宋_GB2312"/>
          <w:sz w:val="32"/>
          <w:szCs w:val="32"/>
          <w:lang w:eastAsia="zh-CN"/>
        </w:rPr>
        <w:t>疫情期间农村生产生活</w:t>
      </w:r>
      <w:r>
        <w:rPr>
          <w:rFonts w:hint="eastAsia" w:ascii="仿宋_GB2312" w:eastAsia="仿宋_GB2312"/>
          <w:sz w:val="32"/>
          <w:szCs w:val="32"/>
        </w:rPr>
        <w:t>运行秩序。</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（四）项目效益情况。确保了镇区</w:t>
      </w:r>
      <w:r>
        <w:rPr>
          <w:rFonts w:hint="eastAsia" w:ascii="仿宋_GB2312" w:eastAsia="仿宋_GB2312"/>
          <w:sz w:val="32"/>
          <w:szCs w:val="32"/>
          <w:lang w:eastAsia="zh-CN"/>
        </w:rPr>
        <w:t>疫情期间农村生产生活</w:t>
      </w:r>
      <w:r>
        <w:rPr>
          <w:rFonts w:hint="eastAsia" w:ascii="仿宋_GB2312" w:eastAsia="仿宋_GB2312"/>
          <w:sz w:val="32"/>
          <w:szCs w:val="32"/>
        </w:rPr>
        <w:t>运行秩序。</w:t>
      </w:r>
    </w:p>
    <w:p>
      <w:pPr>
        <w:spacing w:line="600" w:lineRule="exact"/>
        <w:ind w:firstLine="640" w:firstLineChars="200"/>
        <w:rPr>
          <w:rFonts w:hint="eastAsia" w:eastAsia="黑体"/>
          <w:sz w:val="32"/>
          <w:szCs w:val="32"/>
        </w:rPr>
      </w:pPr>
      <w:r>
        <w:rPr>
          <w:rFonts w:hint="eastAsia" w:eastAsia="黑体"/>
          <w:sz w:val="32"/>
          <w:szCs w:val="32"/>
        </w:rPr>
        <w:t>五、主要经验及做法、存在的问题及原因分析</w:t>
      </w:r>
    </w:p>
    <w:p>
      <w:pPr>
        <w:spacing w:line="600" w:lineRule="exact"/>
        <w:ind w:firstLine="1280" w:firstLineChars="400"/>
        <w:rPr>
          <w:rFonts w:ascii="仿宋_GB2312" w:eastAsia="仿宋_GB2312"/>
          <w:sz w:val="32"/>
          <w:szCs w:val="32"/>
        </w:rPr>
      </w:pPr>
      <w:r>
        <w:rPr>
          <w:rFonts w:hint="eastAsia" w:ascii="仿宋_GB2312" w:eastAsia="仿宋_GB2312"/>
          <w:sz w:val="32"/>
          <w:szCs w:val="32"/>
        </w:rPr>
        <w:t>经过项目论证及实施确保了项目运行平稳，认识到了事前项目论证的必要性。</w:t>
      </w:r>
    </w:p>
    <w:p>
      <w:pPr>
        <w:spacing w:line="600" w:lineRule="exact"/>
        <w:ind w:firstLine="640" w:firstLineChars="200"/>
        <w:rPr>
          <w:rFonts w:hint="eastAsia" w:eastAsia="黑体"/>
          <w:sz w:val="32"/>
          <w:szCs w:val="32"/>
        </w:rPr>
      </w:pPr>
      <w:r>
        <w:rPr>
          <w:rFonts w:hint="eastAsia" w:eastAsia="黑体"/>
          <w:sz w:val="32"/>
          <w:szCs w:val="32"/>
        </w:rPr>
        <w:t>六、有关建议</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项目运行及维护过程要注重实施的有效性，随时进行项目监督。保证项目落到实处。</w:t>
      </w:r>
    </w:p>
    <w:p>
      <w:pPr>
        <w:numPr>
          <w:ilvl w:val="0"/>
          <w:numId w:val="3"/>
        </w:numPr>
        <w:spacing w:line="600" w:lineRule="exact"/>
        <w:ind w:firstLine="640" w:firstLineChars="200"/>
        <w:rPr>
          <w:rFonts w:hint="eastAsia" w:eastAsia="黑体"/>
          <w:sz w:val="32"/>
          <w:szCs w:val="32"/>
        </w:rPr>
      </w:pPr>
      <w:r>
        <w:rPr>
          <w:rFonts w:hint="eastAsia" w:eastAsia="黑体"/>
          <w:sz w:val="32"/>
          <w:szCs w:val="32"/>
        </w:rPr>
        <w:t>其他需要说明的问题</w:t>
      </w:r>
    </w:p>
    <w:p>
      <w:pPr>
        <w:numPr>
          <w:ilvl w:val="0"/>
          <w:numId w:val="0"/>
        </w:numPr>
        <w:spacing w:line="600" w:lineRule="exact"/>
        <w:rPr>
          <w:rFonts w:hint="default" w:eastAsia="黑体"/>
          <w:sz w:val="32"/>
          <w:szCs w:val="32"/>
          <w:lang w:val="en-US" w:eastAsia="zh-CN"/>
        </w:rPr>
      </w:pPr>
      <w:r>
        <w:rPr>
          <w:rFonts w:hint="eastAsia" w:eastAsia="黑体"/>
          <w:sz w:val="32"/>
          <w:szCs w:val="32"/>
          <w:lang w:val="en-US" w:eastAsia="zh-CN"/>
        </w:rPr>
        <w:t xml:space="preserve">    无。</w:t>
      </w:r>
    </w:p>
    <w:p>
      <w:pPr>
        <w:spacing w:line="600" w:lineRule="exact"/>
        <w:ind w:firstLine="640" w:firstLineChars="200"/>
        <w:outlineLvl w:val="0"/>
        <w:rPr>
          <w:rFonts w:hint="eastAsia" w:ascii="仿宋_GB2312" w:eastAsia="仿宋_GB2312"/>
          <w:sz w:val="32"/>
          <w:szCs w:val="32"/>
        </w:rPr>
      </w:pPr>
    </w:p>
    <w:p>
      <w:pPr>
        <w:spacing w:line="600" w:lineRule="exact"/>
        <w:ind w:firstLine="640" w:firstLineChars="200"/>
        <w:outlineLvl w:val="0"/>
        <w:rPr>
          <w:rFonts w:hint="eastAsia" w:ascii="仿宋_GB2312" w:eastAsia="仿宋_GB2312"/>
          <w:sz w:val="32"/>
          <w:szCs w:val="32"/>
        </w:rPr>
      </w:pPr>
    </w:p>
    <w:p>
      <w:pPr>
        <w:spacing w:line="600" w:lineRule="exact"/>
        <w:ind w:firstLine="640" w:firstLineChars="200"/>
        <w:outlineLvl w:val="0"/>
        <w:rPr>
          <w:rFonts w:hint="eastAsia" w:ascii="仿宋_GB2312" w:eastAsia="仿宋_GB2312"/>
          <w:sz w:val="32"/>
          <w:szCs w:val="32"/>
        </w:rPr>
      </w:pPr>
    </w:p>
    <w:p>
      <w:pPr>
        <w:spacing w:line="600" w:lineRule="exact"/>
        <w:ind w:firstLine="640" w:firstLineChars="200"/>
        <w:outlineLvl w:val="0"/>
        <w:rPr>
          <w:rFonts w:hint="eastAsia" w:ascii="仿宋_GB2312" w:eastAsia="仿宋_GB2312"/>
          <w:sz w:val="32"/>
          <w:szCs w:val="32"/>
        </w:rPr>
      </w:pPr>
    </w:p>
    <w:p>
      <w:pPr>
        <w:spacing w:line="600" w:lineRule="exact"/>
        <w:ind w:firstLine="640" w:firstLineChars="200"/>
        <w:outlineLvl w:val="0"/>
        <w:rPr>
          <w:rFonts w:hint="eastAsia" w:ascii="仿宋_GB2312" w:eastAsia="仿宋_GB2312"/>
          <w:sz w:val="32"/>
          <w:szCs w:val="32"/>
        </w:rPr>
      </w:pP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附表一：</w:t>
      </w:r>
    </w:p>
    <w:tbl>
      <w:tblPr>
        <w:tblStyle w:val="4"/>
        <w:tblW w:w="9510" w:type="dxa"/>
        <w:tblInd w:w="93" w:type="dxa"/>
        <w:tblLayout w:type="autofit"/>
        <w:tblCellMar>
          <w:top w:w="0" w:type="dxa"/>
          <w:left w:w="108" w:type="dxa"/>
          <w:bottom w:w="0" w:type="dxa"/>
          <w:right w:w="108" w:type="dxa"/>
        </w:tblCellMar>
      </w:tblPr>
      <w:tblGrid>
        <w:gridCol w:w="1350"/>
        <w:gridCol w:w="1365"/>
        <w:gridCol w:w="1185"/>
        <w:gridCol w:w="5610"/>
      </w:tblGrid>
      <w:tr>
        <w:tblPrEx>
          <w:tblCellMar>
            <w:top w:w="0" w:type="dxa"/>
            <w:left w:w="108" w:type="dxa"/>
            <w:bottom w:w="0" w:type="dxa"/>
            <w:right w:w="108" w:type="dxa"/>
          </w:tblCellMar>
        </w:tblPrEx>
        <w:trPr>
          <w:trHeight w:val="555" w:hRule="atLeast"/>
        </w:trPr>
        <w:tc>
          <w:tcPr>
            <w:tcW w:w="13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仿宋" w:hAnsi="仿宋" w:eastAsia="仿宋" w:cs="仿宋"/>
                <w:b/>
                <w:bCs/>
                <w:color w:val="000000"/>
                <w:sz w:val="28"/>
                <w:szCs w:val="28"/>
              </w:rPr>
            </w:pPr>
            <w:r>
              <w:rPr>
                <w:rFonts w:hint="eastAsia" w:ascii="仿宋" w:hAnsi="仿宋" w:eastAsia="仿宋" w:cs="仿宋"/>
                <w:b/>
                <w:bCs/>
                <w:color w:val="000000"/>
                <w:kern w:val="0"/>
                <w:sz w:val="28"/>
                <w:szCs w:val="28"/>
              </w:rPr>
              <w:t>一级指标</w:t>
            </w:r>
          </w:p>
        </w:tc>
        <w:tc>
          <w:tcPr>
            <w:tcW w:w="1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仿宋" w:hAnsi="仿宋" w:eastAsia="仿宋" w:cs="仿宋"/>
                <w:b/>
                <w:bCs/>
                <w:color w:val="000000"/>
                <w:sz w:val="28"/>
                <w:szCs w:val="28"/>
              </w:rPr>
            </w:pPr>
            <w:r>
              <w:rPr>
                <w:rFonts w:hint="eastAsia" w:ascii="仿宋" w:hAnsi="仿宋" w:eastAsia="仿宋" w:cs="仿宋"/>
                <w:b/>
                <w:bCs/>
                <w:color w:val="000000"/>
                <w:kern w:val="0"/>
                <w:sz w:val="28"/>
                <w:szCs w:val="28"/>
              </w:rPr>
              <w:t>二级指标</w:t>
            </w:r>
          </w:p>
        </w:tc>
        <w:tc>
          <w:tcPr>
            <w:tcW w:w="11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仿宋" w:hAnsi="仿宋" w:eastAsia="仿宋" w:cs="仿宋"/>
                <w:b/>
                <w:bCs/>
                <w:color w:val="000000"/>
                <w:sz w:val="28"/>
                <w:szCs w:val="28"/>
              </w:rPr>
            </w:pPr>
            <w:r>
              <w:rPr>
                <w:rFonts w:hint="eastAsia" w:ascii="仿宋" w:hAnsi="仿宋" w:eastAsia="仿宋" w:cs="仿宋"/>
                <w:b/>
                <w:bCs/>
                <w:color w:val="000000"/>
                <w:kern w:val="0"/>
                <w:sz w:val="28"/>
                <w:szCs w:val="28"/>
              </w:rPr>
              <w:t>三级指标</w:t>
            </w:r>
          </w:p>
        </w:tc>
        <w:tc>
          <w:tcPr>
            <w:tcW w:w="56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仿宋" w:hAnsi="仿宋" w:eastAsia="仿宋" w:cs="仿宋"/>
                <w:b/>
                <w:bCs/>
                <w:color w:val="000000"/>
                <w:sz w:val="28"/>
                <w:szCs w:val="28"/>
              </w:rPr>
            </w:pPr>
            <w:r>
              <w:rPr>
                <w:rFonts w:hint="eastAsia" w:ascii="仿宋" w:hAnsi="仿宋" w:eastAsia="仿宋" w:cs="仿宋"/>
                <w:b/>
                <w:bCs/>
                <w:color w:val="000000"/>
                <w:kern w:val="0"/>
                <w:sz w:val="28"/>
                <w:szCs w:val="28"/>
              </w:rPr>
              <w:t>评分规则</w:t>
            </w:r>
          </w:p>
        </w:tc>
      </w:tr>
      <w:tr>
        <w:tblPrEx>
          <w:tblCellMar>
            <w:top w:w="0" w:type="dxa"/>
            <w:left w:w="108" w:type="dxa"/>
            <w:bottom w:w="0" w:type="dxa"/>
            <w:right w:w="108" w:type="dxa"/>
          </w:tblCellMar>
        </w:tblPrEx>
        <w:trPr>
          <w:trHeight w:val="1050"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一、立项必要性</w:t>
            </w:r>
            <w:r>
              <w:rPr>
                <w:rFonts w:hint="eastAsia" w:ascii="仿宋" w:hAnsi="仿宋" w:eastAsia="仿宋" w:cs="仿宋"/>
                <w:color w:val="000000"/>
                <w:kern w:val="0"/>
                <w:sz w:val="24"/>
              </w:rPr>
              <w:br w:type="textWrapping"/>
            </w:r>
            <w:r>
              <w:rPr>
                <w:rFonts w:hint="eastAsia" w:ascii="仿宋" w:hAnsi="仿宋" w:eastAsia="仿宋" w:cs="仿宋"/>
                <w:color w:val="000000"/>
                <w:kern w:val="0"/>
                <w:sz w:val="24"/>
              </w:rPr>
              <w:t>（25分）</w:t>
            </w:r>
          </w:p>
        </w:tc>
        <w:tc>
          <w:tcPr>
            <w:tcW w:w="1365" w:type="dxa"/>
            <w:vMerge w:val="restart"/>
            <w:tcBorders>
              <w:top w:val="single" w:color="000000" w:sz="4" w:space="0"/>
              <w:left w:val="single" w:color="000000" w:sz="4" w:space="0"/>
              <w:bottom w:val="nil"/>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依据充分性</w:t>
            </w:r>
          </w:p>
        </w:tc>
        <w:tc>
          <w:tcPr>
            <w:tcW w:w="1185" w:type="dxa"/>
            <w:tcBorders>
              <w:top w:val="single" w:color="000000" w:sz="4" w:space="0"/>
              <w:left w:val="single" w:color="000000" w:sz="4" w:space="0"/>
              <w:bottom w:val="nil"/>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本级决议</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依据县委、县政府重大决策立项，得5分,主要指县主要领导明确的批示、意见，县委常委会、县政府常务会会议纪要等。</w:t>
            </w:r>
          </w:p>
        </w:tc>
      </w:tr>
      <w:tr>
        <w:tblPrEx>
          <w:tblCellMar>
            <w:top w:w="0" w:type="dxa"/>
            <w:left w:w="108" w:type="dxa"/>
            <w:bottom w:w="0" w:type="dxa"/>
            <w:right w:w="108" w:type="dxa"/>
          </w:tblCellMar>
        </w:tblPrEx>
        <w:trPr>
          <w:trHeight w:val="780"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上级规划</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依据国家、省发展规划、方针政策或部门分管市领导批示、会议纪要立项，得5分。</w:t>
            </w:r>
          </w:p>
        </w:tc>
      </w:tr>
      <w:tr>
        <w:tblPrEx>
          <w:tblCellMar>
            <w:top w:w="0" w:type="dxa"/>
            <w:left w:w="108" w:type="dxa"/>
            <w:bottom w:w="0" w:type="dxa"/>
            <w:right w:w="108" w:type="dxa"/>
          </w:tblCellMar>
        </w:tblPrEx>
        <w:trPr>
          <w:trHeight w:val="73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部门规划</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依据县级部门职能及中长期发展规划、部门年度工作计划或项目规划立项，得3分。</w:t>
            </w:r>
          </w:p>
        </w:tc>
      </w:tr>
      <w:tr>
        <w:tblPrEx>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立项合理性</w:t>
            </w:r>
          </w:p>
        </w:tc>
        <w:tc>
          <w:tcPr>
            <w:tcW w:w="118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实施紧迫</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项目必须实施，预算资金由财政安排，得5分。</w:t>
            </w:r>
          </w:p>
        </w:tc>
      </w:tr>
      <w:tr>
        <w:tblPrEx>
          <w:tblCellMar>
            <w:top w:w="0" w:type="dxa"/>
            <w:left w:w="108" w:type="dxa"/>
            <w:bottom w:w="0" w:type="dxa"/>
            <w:right w:w="108" w:type="dxa"/>
          </w:tblCellMar>
        </w:tblPrEx>
        <w:trPr>
          <w:trHeight w:val="67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存在分年度安排情况，得2分。无紧迫性，不得分。</w:t>
            </w:r>
          </w:p>
        </w:tc>
      </w:tr>
      <w:tr>
        <w:tblPrEx>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事权合理</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属于县级财政事权范围，得2分，反之不得分。</w:t>
            </w:r>
          </w:p>
        </w:tc>
      </w:tr>
      <w:tr>
        <w:tblPrEx>
          <w:tblCellMar>
            <w:top w:w="0" w:type="dxa"/>
            <w:left w:w="108" w:type="dxa"/>
            <w:bottom w:w="0" w:type="dxa"/>
            <w:right w:w="108" w:type="dxa"/>
          </w:tblCellMar>
        </w:tblPrEx>
        <w:trPr>
          <w:trHeight w:val="76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项目相关</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相同或相近领域无用途相似的预算安排，得3分；反之不得分。</w:t>
            </w:r>
          </w:p>
        </w:tc>
      </w:tr>
      <w:tr>
        <w:tblPrEx>
          <w:tblCellMar>
            <w:top w:w="0" w:type="dxa"/>
            <w:left w:w="108" w:type="dxa"/>
            <w:bottom w:w="0" w:type="dxa"/>
            <w:right w:w="108" w:type="dxa"/>
          </w:tblCellMar>
        </w:tblPrEx>
        <w:trPr>
          <w:trHeight w:val="585"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二、实施可行性</w:t>
            </w:r>
            <w:r>
              <w:rPr>
                <w:rFonts w:hint="eastAsia" w:ascii="仿宋" w:hAnsi="仿宋" w:eastAsia="仿宋" w:cs="仿宋"/>
                <w:color w:val="000000"/>
                <w:kern w:val="0"/>
                <w:sz w:val="24"/>
              </w:rPr>
              <w:br w:type="textWrapping"/>
            </w:r>
            <w:r>
              <w:rPr>
                <w:rFonts w:hint="eastAsia" w:ascii="仿宋" w:hAnsi="仿宋" w:eastAsia="仿宋" w:cs="仿宋"/>
                <w:color w:val="000000"/>
                <w:kern w:val="0"/>
                <w:sz w:val="24"/>
              </w:rPr>
              <w:t>（25分）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实施可能性</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制度健全</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具备明确的管理制度，得5分；没有不得分。</w:t>
            </w:r>
          </w:p>
        </w:tc>
      </w:tr>
      <w:tr>
        <w:tblPrEx>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方案可行</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具备可行的实施方案，得10分；没有不得分。</w:t>
            </w:r>
          </w:p>
        </w:tc>
      </w:tr>
      <w:tr>
        <w:tblPrEx>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路径最优</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具备最优的实施路径，得8分；反之不得分。</w:t>
            </w:r>
          </w:p>
        </w:tc>
      </w:tr>
      <w:tr>
        <w:tblPrEx>
          <w:tblCellMar>
            <w:top w:w="0" w:type="dxa"/>
            <w:left w:w="108" w:type="dxa"/>
            <w:bottom w:w="0" w:type="dxa"/>
            <w:right w:w="108" w:type="dxa"/>
          </w:tblCellMar>
        </w:tblPrEx>
        <w:trPr>
          <w:trHeight w:val="70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风险可控性</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风险可控</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具备风险防控方案或风险评估报告，得2分；没有不得分。</w:t>
            </w:r>
          </w:p>
        </w:tc>
      </w:tr>
      <w:tr>
        <w:tblPrEx>
          <w:tblCellMar>
            <w:top w:w="0" w:type="dxa"/>
            <w:left w:w="108" w:type="dxa"/>
            <w:bottom w:w="0" w:type="dxa"/>
            <w:right w:w="108" w:type="dxa"/>
          </w:tblCellMar>
        </w:tblPrEx>
        <w:trPr>
          <w:trHeight w:val="750"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三、绩效目标合理性</w:t>
            </w:r>
            <w:r>
              <w:rPr>
                <w:rFonts w:hint="eastAsia" w:ascii="仿宋" w:hAnsi="仿宋" w:eastAsia="仿宋" w:cs="仿宋"/>
                <w:color w:val="000000"/>
                <w:kern w:val="0"/>
                <w:sz w:val="24"/>
              </w:rPr>
              <w:br w:type="textWrapping"/>
            </w:r>
            <w:r>
              <w:rPr>
                <w:rFonts w:hint="eastAsia" w:ascii="仿宋" w:hAnsi="仿宋" w:eastAsia="仿宋" w:cs="仿宋"/>
                <w:color w:val="000000"/>
                <w:kern w:val="0"/>
                <w:sz w:val="24"/>
              </w:rPr>
              <w:t>（20分）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目标设置</w:t>
            </w: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指向精准</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能精准反映预算支出的产出和效果，得5分； 没有不得分。</w:t>
            </w:r>
          </w:p>
        </w:tc>
      </w:tr>
      <w:tr>
        <w:tblPrEx>
          <w:tblCellMar>
            <w:top w:w="0" w:type="dxa"/>
            <w:left w:w="108" w:type="dxa"/>
            <w:bottom w:w="0" w:type="dxa"/>
            <w:right w:w="108" w:type="dxa"/>
          </w:tblCellMar>
        </w:tblPrEx>
        <w:trPr>
          <w:trHeight w:val="780"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客观公正</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目标符合客观实际，一定时期内能够实现，得5分；反之不得分。</w:t>
            </w:r>
          </w:p>
        </w:tc>
      </w:tr>
      <w:tr>
        <w:tblPrEx>
          <w:tblCellMar>
            <w:top w:w="0" w:type="dxa"/>
            <w:left w:w="108" w:type="dxa"/>
            <w:bottom w:w="0" w:type="dxa"/>
            <w:right w:w="108" w:type="dxa"/>
          </w:tblCellMar>
        </w:tblPrEx>
        <w:trPr>
          <w:trHeight w:val="70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便于衡量</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绩效目标指标细化、量化，得5分；反之不得分。</w:t>
            </w:r>
          </w:p>
        </w:tc>
      </w:tr>
      <w:tr>
        <w:tblPrEx>
          <w:tblCellMar>
            <w:top w:w="0" w:type="dxa"/>
            <w:left w:w="108" w:type="dxa"/>
            <w:bottom w:w="0" w:type="dxa"/>
            <w:right w:w="108" w:type="dxa"/>
          </w:tblCellMar>
        </w:tblPrEx>
        <w:trPr>
          <w:trHeight w:val="750"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数量适当</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绩效指标数量不少于6条，得5分；每缺少1条，扣1分。</w:t>
            </w:r>
          </w:p>
        </w:tc>
      </w:tr>
      <w:tr>
        <w:tblPrEx>
          <w:tblCellMar>
            <w:top w:w="0" w:type="dxa"/>
            <w:left w:w="108" w:type="dxa"/>
            <w:bottom w:w="0" w:type="dxa"/>
            <w:right w:w="108" w:type="dxa"/>
          </w:tblCellMar>
        </w:tblPrEx>
        <w:trPr>
          <w:trHeight w:val="840"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四、投入经济性</w:t>
            </w:r>
            <w:r>
              <w:rPr>
                <w:rFonts w:hint="eastAsia" w:ascii="仿宋" w:hAnsi="仿宋" w:eastAsia="仿宋" w:cs="仿宋"/>
                <w:color w:val="000000"/>
                <w:kern w:val="0"/>
                <w:sz w:val="24"/>
              </w:rPr>
              <w:br w:type="textWrapping"/>
            </w:r>
            <w:r>
              <w:rPr>
                <w:rFonts w:hint="eastAsia" w:ascii="仿宋" w:hAnsi="仿宋" w:eastAsia="仿宋" w:cs="仿宋"/>
                <w:color w:val="000000"/>
                <w:kern w:val="0"/>
                <w:sz w:val="24"/>
              </w:rPr>
              <w:t>（10分）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资金测算</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依据充分</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财政投入测算依据充分，得4分；测算依据每存在1条不充分的，扣1分，扣完为止。</w:t>
            </w:r>
          </w:p>
        </w:tc>
      </w:tr>
      <w:tr>
        <w:tblPrEx>
          <w:tblCellMar>
            <w:top w:w="0" w:type="dxa"/>
            <w:left w:w="108" w:type="dxa"/>
            <w:bottom w:w="0" w:type="dxa"/>
            <w:right w:w="108" w:type="dxa"/>
          </w:tblCellMar>
        </w:tblPrEx>
        <w:trPr>
          <w:trHeight w:val="73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标准合理</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测算标准合理，得3分；每存在1条标准偏高的，扣1分，扣完为止。</w:t>
            </w:r>
          </w:p>
        </w:tc>
      </w:tr>
      <w:tr>
        <w:tblPrEx>
          <w:tblCellMar>
            <w:top w:w="0" w:type="dxa"/>
            <w:left w:w="108" w:type="dxa"/>
            <w:bottom w:w="0" w:type="dxa"/>
            <w:right w:w="108" w:type="dxa"/>
          </w:tblCellMar>
        </w:tblPrEx>
        <w:trPr>
          <w:trHeight w:val="67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资金效益</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成本与效益匹配</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投入成本与预期效益匹配，得3分；反之不得分。</w:t>
            </w:r>
          </w:p>
        </w:tc>
      </w:tr>
      <w:tr>
        <w:tblPrEx>
          <w:tblCellMar>
            <w:top w:w="0" w:type="dxa"/>
            <w:left w:w="108" w:type="dxa"/>
            <w:bottom w:w="0" w:type="dxa"/>
            <w:right w:w="108" w:type="dxa"/>
          </w:tblCellMar>
        </w:tblPrEx>
        <w:trPr>
          <w:trHeight w:val="735"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五、筹资合规性</w:t>
            </w:r>
            <w:r>
              <w:rPr>
                <w:rFonts w:hint="eastAsia" w:ascii="仿宋" w:hAnsi="仿宋" w:eastAsia="仿宋" w:cs="仿宋"/>
                <w:color w:val="000000"/>
                <w:kern w:val="0"/>
                <w:sz w:val="24"/>
              </w:rPr>
              <w:br w:type="textWrapping"/>
            </w:r>
            <w:r>
              <w:rPr>
                <w:rFonts w:hint="eastAsia" w:ascii="仿宋" w:hAnsi="仿宋" w:eastAsia="仿宋" w:cs="仿宋"/>
                <w:color w:val="000000"/>
                <w:kern w:val="0"/>
                <w:sz w:val="24"/>
              </w:rPr>
              <w:t>（10分）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资金来源</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渠道明确</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明确财政资金、自有收入或其他资金安排，得5分；未明确不得分。</w:t>
            </w:r>
          </w:p>
        </w:tc>
      </w:tr>
      <w:tr>
        <w:tblPrEx>
          <w:tblCellMar>
            <w:top w:w="0" w:type="dxa"/>
            <w:left w:w="108" w:type="dxa"/>
            <w:bottom w:w="0" w:type="dxa"/>
            <w:right w:w="108" w:type="dxa"/>
          </w:tblCellMar>
        </w:tblPrEx>
        <w:trPr>
          <w:trHeight w:val="73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合法合规</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资金来源符合国家法律、法规，得5分，反之不得分。</w:t>
            </w:r>
          </w:p>
        </w:tc>
      </w:tr>
      <w:tr>
        <w:tblPrEx>
          <w:tblCellMar>
            <w:top w:w="0" w:type="dxa"/>
            <w:left w:w="108" w:type="dxa"/>
            <w:bottom w:w="0" w:type="dxa"/>
            <w:right w:w="108" w:type="dxa"/>
          </w:tblCellMar>
        </w:tblPrEx>
        <w:trPr>
          <w:trHeight w:val="765" w:hRule="atLeast"/>
        </w:trPr>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六、可持续性（10分）</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财力支持</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财政承受能力</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实施期内县级财力能够承受，得10分；反之不得分。</w:t>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3000502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01322C0"/>
    <w:multiLevelType w:val="singleLevel"/>
    <w:tmpl w:val="C01322C0"/>
    <w:lvl w:ilvl="0" w:tentative="0">
      <w:start w:val="3"/>
      <w:numFmt w:val="chineseCounting"/>
      <w:suff w:val="nothing"/>
      <w:lvlText w:val="%1、"/>
      <w:lvlJc w:val="left"/>
      <w:rPr>
        <w:rFonts w:hint="eastAsia"/>
      </w:rPr>
    </w:lvl>
  </w:abstractNum>
  <w:abstractNum w:abstractNumId="1">
    <w:nsid w:val="D3D39D20"/>
    <w:multiLevelType w:val="singleLevel"/>
    <w:tmpl w:val="D3D39D20"/>
    <w:lvl w:ilvl="0" w:tentative="0">
      <w:start w:val="2"/>
      <w:numFmt w:val="chineseCounting"/>
      <w:suff w:val="nothing"/>
      <w:lvlText w:val="（%1）"/>
      <w:lvlJc w:val="left"/>
      <w:rPr>
        <w:rFonts w:hint="eastAsia"/>
      </w:rPr>
    </w:lvl>
  </w:abstractNum>
  <w:abstractNum w:abstractNumId="2">
    <w:nsid w:val="5E1E0ABB"/>
    <w:multiLevelType w:val="singleLevel"/>
    <w:tmpl w:val="5E1E0ABB"/>
    <w:lvl w:ilvl="0" w:tentative="0">
      <w:start w:val="7"/>
      <w:numFmt w:val="chineseCounting"/>
      <w:suff w:val="nothing"/>
      <w:lvlText w:val="%1、"/>
      <w:lvlJc w:val="left"/>
      <w:rPr>
        <w:rFonts w:hint="eastAsia"/>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2339"/>
    <w:rsid w:val="006D698D"/>
    <w:rsid w:val="007B014A"/>
    <w:rsid w:val="008D0681"/>
    <w:rsid w:val="00D72339"/>
    <w:rsid w:val="04B64961"/>
    <w:rsid w:val="0FD13331"/>
    <w:rsid w:val="11E85BC6"/>
    <w:rsid w:val="1D5A2448"/>
    <w:rsid w:val="2E12555D"/>
    <w:rsid w:val="4595474B"/>
    <w:rsid w:val="46775013"/>
    <w:rsid w:val="49D67DF9"/>
    <w:rsid w:val="4A4F51F5"/>
    <w:rsid w:val="51D879E2"/>
    <w:rsid w:val="63AF0C61"/>
    <w:rsid w:val="69EA477B"/>
    <w:rsid w:val="7ED954D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Pages>
  <Words>40</Words>
  <Characters>228</Characters>
  <Lines>1</Lines>
  <Paragraphs>1</Paragraphs>
  <TotalTime>1</TotalTime>
  <ScaleCrop>false</ScaleCrop>
  <LinksUpToDate>false</LinksUpToDate>
  <CharactersWithSpaces>267</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Administrator</cp:lastModifiedBy>
  <cp:lastPrinted>2022-07-11T08:06:00Z</cp:lastPrinted>
  <dcterms:modified xsi:type="dcterms:W3CDTF">2024-04-24T08:30:15Z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ies>
</file>