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2022年13批次2号地、26批次1号地、</w:t>
      </w: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7批次2号地、12批次2号、7批次1号征地补偿</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玉田县彩亭桥镇人民政府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赵珊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0315-6488431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540" w:lineRule="exact"/>
        <w:ind w:firstLine="640" w:firstLineChars="200"/>
        <w:rPr>
          <w:rFonts w:hint="eastAsia" w:ascii="仿宋" w:hAnsi="仿宋" w:eastAsia="仿宋" w:cs="仿宋"/>
          <w:sz w:val="32"/>
          <w:szCs w:val="32"/>
        </w:rPr>
      </w:pPr>
      <w:bookmarkStart w:id="21" w:name="_Toc31309_WPSOffice_Level1"/>
      <w:r>
        <w:rPr>
          <w:rFonts w:hint="eastAsia" w:ascii="仿宋" w:hAnsi="仿宋" w:eastAsia="仿宋" w:cs="仿宋"/>
          <w:sz w:val="32"/>
          <w:szCs w:val="32"/>
        </w:rPr>
        <w:t>根据县委、县政府202</w:t>
      </w:r>
      <w:r>
        <w:rPr>
          <w:rFonts w:hint="eastAsia" w:ascii="仿宋" w:hAnsi="仿宋" w:eastAsia="仿宋" w:cs="仿宋"/>
          <w:sz w:val="32"/>
          <w:szCs w:val="32"/>
          <w:lang w:val="en-US" w:eastAsia="zh-CN"/>
        </w:rPr>
        <w:t>3</w:t>
      </w:r>
      <w:r>
        <w:rPr>
          <w:rFonts w:hint="eastAsia" w:ascii="仿宋" w:hAnsi="仿宋" w:eastAsia="仿宋" w:cs="仿宋"/>
          <w:sz w:val="32"/>
          <w:szCs w:val="32"/>
        </w:rPr>
        <w:t>年度计划目标，彩亭桥镇政府202</w:t>
      </w:r>
      <w:r>
        <w:rPr>
          <w:rFonts w:hint="eastAsia" w:ascii="仿宋" w:hAnsi="仿宋" w:eastAsia="仿宋" w:cs="仿宋"/>
          <w:sz w:val="32"/>
          <w:szCs w:val="32"/>
          <w:lang w:val="en-US" w:eastAsia="zh-CN"/>
        </w:rPr>
        <w:t>3</w:t>
      </w:r>
      <w:r>
        <w:rPr>
          <w:rFonts w:hint="eastAsia" w:ascii="仿宋" w:hAnsi="仿宋" w:eastAsia="仿宋" w:cs="仿宋"/>
          <w:sz w:val="32"/>
          <w:szCs w:val="32"/>
        </w:rPr>
        <w:t>年度将继续做好农业、农村、农民工作。加强经济服务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农村和谐。保障天然气入户、农村养老医疗、农村养殖等民生重点支出，确保财政收支平衡，为全镇经济科学发展和促进和谐社会建设提供财力保障。</w:t>
      </w:r>
    </w:p>
    <w:p>
      <w:pPr>
        <w:spacing w:line="540" w:lineRule="exact"/>
        <w:ind w:firstLine="640" w:firstLineChars="200"/>
        <w:rPr>
          <w:rFonts w:hint="eastAsia" w:ascii="仿宋" w:hAnsi="仿宋" w:eastAsia="仿宋" w:cs="仿宋"/>
          <w:sz w:val="32"/>
          <w:szCs w:val="32"/>
          <w:lang w:eastAsia="zh-CN"/>
        </w:rPr>
      </w:pP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lang w:eastAsia="zh-CN"/>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2022年13批次2号地、26批次1号地、7批次2号地、12批次2号、7批次1号征地补偿</w:t>
      </w:r>
      <w:r>
        <w:rPr>
          <w:rFonts w:hint="eastAsia" w:ascii="仿宋" w:hAnsi="仿宋" w:eastAsia="仿宋" w:cs="仿宋"/>
          <w:sz w:val="32"/>
          <w:szCs w:val="32"/>
          <w:lang w:eastAsia="zh-CN"/>
        </w:rPr>
        <w:t>项目。</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rPr>
      </w:pPr>
      <w:bookmarkStart w:id="26" w:name="_Toc22655_WPSOffice_Level1"/>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 绩效评价工作处在初步推广阶段，部分部门和人员对其认识有些尚浅，在资料提供与准备方面尚缺经验，一定程度上影响了工作效率。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lang w:eastAsia="zh-CN"/>
        </w:rPr>
      </w:pP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numPr>
          <w:ilvl w:val="0"/>
          <w:numId w:val="0"/>
        </w:numPr>
        <w:spacing w:line="600" w:lineRule="exact"/>
        <w:ind w:firstLine="600" w:firstLineChars="200"/>
        <w:outlineLvl w:val="0"/>
        <w:rPr>
          <w:rFonts w:hint="eastAsia" w:ascii="仿宋" w:hAnsi="仿宋" w:eastAsia="仿宋" w:cs="仿宋"/>
          <w:lang w:eastAsia="zh-CN"/>
        </w:rPr>
      </w:pPr>
      <w:bookmarkStart w:id="28" w:name="_Toc22094_WPSOffice_Level2"/>
      <w:r>
        <w:rPr>
          <w:rFonts w:hint="eastAsia" w:ascii="仿宋" w:hAnsi="仿宋" w:eastAsia="仿宋" w:cs="仿宋"/>
          <w:lang w:val="en-US" w:eastAsia="zh-CN"/>
        </w:rPr>
        <w:t>为确</w:t>
      </w:r>
      <w:r>
        <w:rPr>
          <w:rFonts w:hint="eastAsia" w:ascii="仿宋_GB2312" w:eastAsia="仿宋_GB2312"/>
          <w:sz w:val="32"/>
          <w:szCs w:val="32"/>
          <w:lang w:eastAsia="zh-CN"/>
        </w:rPr>
        <w:t>保我镇2022年13批次2号地、26批次1号地、7批次2号地、12批次2号、7批次1号征地补偿工作顺利展开</w:t>
      </w:r>
      <w:r>
        <w:rPr>
          <w:rFonts w:hint="eastAsia" w:ascii="仿宋" w:hAnsi="仿宋" w:eastAsia="仿宋" w:cs="仿宋"/>
          <w:lang w:val="en-US" w:eastAsia="zh-CN"/>
        </w:rPr>
        <w:t>，设立此项目。</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val="en-US" w:eastAsia="zh-CN"/>
        </w:rPr>
        <w:t>全部支出用于</w:t>
      </w:r>
      <w:r>
        <w:rPr>
          <w:rFonts w:hint="eastAsia" w:ascii="仿宋_GB2312" w:eastAsia="仿宋_GB2312"/>
          <w:sz w:val="32"/>
          <w:szCs w:val="32"/>
          <w:lang w:eastAsia="zh-CN"/>
        </w:rPr>
        <w:t>2022年13批次2号地、26批次1号地、7批次2号地、12批次2号、7批次1号征地补偿</w:t>
      </w:r>
      <w:r>
        <w:rPr>
          <w:rFonts w:hint="eastAsia" w:ascii="仿宋_GB2312"/>
          <w:sz w:val="32"/>
          <w:szCs w:val="32"/>
          <w:lang w:eastAsia="zh-CN"/>
        </w:rPr>
        <w:t>。</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numPr>
          <w:ilvl w:val="0"/>
          <w:numId w:val="0"/>
        </w:numPr>
        <w:spacing w:line="600" w:lineRule="exact"/>
        <w:ind w:leftChars="200"/>
        <w:rPr>
          <w:rFonts w:hint="eastAsia" w:ascii="仿宋" w:hAnsi="仿宋" w:eastAsia="仿宋" w:cs="仿宋"/>
          <w:lang w:val="en-US" w:eastAsia="zh-CN"/>
        </w:rPr>
      </w:pPr>
      <w:bookmarkStart w:id="30" w:name="_Toc14430_WPSOffice_Level1"/>
      <w:r>
        <w:rPr>
          <w:rFonts w:hint="eastAsia" w:ascii="仿宋" w:hAnsi="仿宋" w:eastAsia="仿宋" w:cs="仿宋"/>
          <w:lang w:eastAsia="zh-CN"/>
        </w:rPr>
        <w:t>第一季度</w:t>
      </w:r>
      <w:r>
        <w:rPr>
          <w:rFonts w:hint="eastAsia" w:ascii="仿宋" w:hAnsi="仿宋" w:eastAsia="仿宋" w:cs="仿宋"/>
          <w:lang w:val="en-US" w:eastAsia="zh-CN"/>
        </w:rPr>
        <w:t>25%;第二季度50%；第三季度75%；第四季度100%。</w:t>
      </w:r>
    </w:p>
    <w:p>
      <w:pPr>
        <w:numPr>
          <w:ilvl w:val="0"/>
          <w:numId w:val="0"/>
        </w:numPr>
        <w:spacing w:line="600" w:lineRule="exact"/>
        <w:ind w:leftChars="200"/>
        <w:rPr>
          <w:rFonts w:hint="eastAsia" w:ascii="仿宋" w:hAnsi="仿宋" w:eastAsia="仿宋" w:cs="仿宋"/>
          <w:lang w:val="en-US" w:eastAsia="zh-CN"/>
        </w:rPr>
      </w:pPr>
    </w:p>
    <w:p>
      <w:pPr>
        <w:numPr>
          <w:ilvl w:val="0"/>
          <w:numId w:val="0"/>
        </w:numPr>
        <w:spacing w:line="600" w:lineRule="exact"/>
        <w:ind w:firstLine="602" w:firstLineChars="200"/>
        <w:rPr>
          <w:rFonts w:hint="eastAsia" w:ascii="仿宋" w:hAnsi="仿宋" w:eastAsia="仿宋" w:cs="仿宋"/>
          <w:b/>
          <w:bCs/>
          <w:lang w:eastAsia="zh-CN"/>
        </w:rPr>
      </w:pPr>
      <w:r>
        <w:rPr>
          <w:rFonts w:hint="eastAsia" w:ascii="仿宋" w:hAnsi="仿宋" w:eastAsia="仿宋" w:cs="仿宋"/>
          <w:b/>
          <w:bCs/>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100</w:t>
      </w:r>
      <w:r>
        <w:rPr>
          <w:rFonts w:hint="eastAsia" w:ascii="仿宋" w:hAnsi="仿宋" w:eastAsia="仿宋" w:cs="仿宋"/>
          <w:sz w:val="32"/>
          <w:szCs w:val="32"/>
        </w:rPr>
        <w:t>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1CA1EF4"/>
    <w:rsid w:val="14C544DE"/>
    <w:rsid w:val="18316FEC"/>
    <w:rsid w:val="191A6F8F"/>
    <w:rsid w:val="19730045"/>
    <w:rsid w:val="199D793A"/>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1</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2024-04-24T09:25:29Z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