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eastAsia="zh-CN"/>
        </w:rPr>
        <w:t>玉田县鸦鸿桥镇孙各庄中心小学</w:t>
      </w:r>
    </w:p>
    <w:p>
      <w:pPr>
        <w:jc w:val="center"/>
        <w:rPr>
          <w:rFonts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年预算运行绩效监控</w:t>
      </w:r>
    </w:p>
    <w:p>
      <w:pPr>
        <w:jc w:val="center"/>
        <w:rPr>
          <w:rFonts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玉田县鸦鸿桥镇孙各庄中心小学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12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31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玉田县鸦鸿桥镇孙各庄中心小学</w:t>
      </w: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2020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年度运行绩效监控报告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年度预算总额290.139076万元，其中：财政拨款290.139076万元。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月，本部门预算支出284.375759万元，预算整体执行率为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98.01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%。其中人员经费支出217.1548万元，占年初预算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74.85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正常公用经费支出67.220959万元，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23.17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spacing w:line="500" w:lineRule="exact"/>
        <w:ind w:firstLine="560" w:firstLineChars="20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  <w:lang w:eastAsia="zh-CN"/>
        </w:rPr>
      </w:pPr>
      <w:r>
        <w:rPr>
          <w:rFonts w:hint="eastAsia" w:ascii="仿宋" w:hAnsi="仿宋" w:eastAsia="仿宋" w:cs="方正仿宋_GBK"/>
          <w:sz w:val="32"/>
          <w:szCs w:val="32"/>
          <w:lang w:eastAsia="zh-CN"/>
        </w:rPr>
        <w:t>加大了教育教学投入，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</w:rPr>
        <w:t>保障教育教学正常运行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  <w:lang w:eastAsia="zh-CN"/>
        </w:rPr>
        <w:t>，下学期均衡支出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firstLine="643" w:firstLineChars="200"/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整改措施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  <w:lang w:eastAsia="zh-CN"/>
        </w:rPr>
        <w:t>为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</w:rPr>
        <w:t>保障教育教学正常运行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  <w:lang w:eastAsia="zh-CN"/>
        </w:rPr>
        <w:t>，按月均衡支出经费</w:t>
      </w:r>
      <w:r>
        <w:rPr>
          <w:rFonts w:hint="eastAsia" w:ascii="仿宋" w:hAnsi="仿宋" w:eastAsia="仿宋" w:cs="仿宋"/>
          <w:b w:val="0"/>
          <w:bCs w:val="0"/>
          <w:color w:val="333333"/>
          <w:sz w:val="32"/>
          <w:shd w:val="clear" w:color="auto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7C4644"/>
    <w:multiLevelType w:val="singleLevel"/>
    <w:tmpl w:val="A97C464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334575CC"/>
    <w:rsid w:val="37662C87"/>
    <w:rsid w:val="54AE5F67"/>
    <w:rsid w:val="7171734F"/>
    <w:rsid w:val="78B6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3</TotalTime>
  <ScaleCrop>false</ScaleCrop>
  <LinksUpToDate>false</LinksUpToDate>
  <CharactersWithSpaces>884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2021-06-11T02:44:00Z</cp:lastPrinted>
  <dcterms:modified xsi:type="dcterms:W3CDTF">2021-06-11T02:55:30Z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