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eastAsia="zh-CN"/>
        </w:rPr>
        <w:t>玉田县鸦鸿桥镇孙各庄中心小学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年预算运行绩效监控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玉田县鸦鸿桥镇孙各庄中心小学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玉田县鸦鸿桥镇孙各庄中心小学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年度预算总额290.139076万元，其中：财政拨款290.139076万元。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月，本部门预算支出114.521056万元，预算整体执行率为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39.47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%。其中人员经费支出102.446727万元，占年初预算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35.3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正常公用经费支出12.074329万元，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4.2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  <w:lang w:eastAsia="zh-CN"/>
        </w:rPr>
      </w:pPr>
      <w:r>
        <w:rPr>
          <w:rFonts w:hint="eastAsia" w:ascii="仿宋" w:hAnsi="仿宋" w:eastAsia="仿宋" w:cs="方正仿宋_GBK"/>
          <w:sz w:val="32"/>
          <w:szCs w:val="32"/>
          <w:lang w:eastAsia="zh-CN"/>
        </w:rPr>
        <w:t>因疫情原因，日常公用经费支出较少。开学后，加大教育教学投入。</w:t>
      </w: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整改措施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  <w:t>根据实际情况合理安排支出，保障教育教学正常运行。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7C4644"/>
    <w:multiLevelType w:val="singleLevel"/>
    <w:tmpl w:val="A97C464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2BAD562D"/>
    <w:rsid w:val="334575CC"/>
    <w:rsid w:val="5557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2021-06-11T02:54:58Z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