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玉田县机关事务中心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玉田县机关事务中心编制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1.残疾人保障金绩效目标表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2.公务用车平台办公室经费绩效目标表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3.行政中心电梯大修保养绩效目标表</w:t>
      </w:r>
      <w:r>
        <w:tab/>
      </w:r>
      <w:r>
        <w:fldChar w:fldCharType="begin"/>
      </w:r>
      <w:r>
        <w:instrText xml:space="preserve">PAGEREF _Toc_4_4_0000000006 \h</w:instrText>
      </w:r>
      <w:r>
        <w:fldChar w:fldCharType="separate"/>
      </w:r>
      <w:r>
        <w:t>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p>
    <w:p>
      <w:pPr>
        <w:pStyle w:val="8"/>
      </w:pPr>
      <w:r>
        <w:t>玉田县机关事务中心</w:t>
      </w:r>
    </w:p>
    <w:p>
      <w:pPr>
        <w:pStyle w:val="8"/>
      </w:pPr>
      <w:r>
        <w:t>2025年部门总体绩效目标</w:t>
      </w:r>
    </w:p>
    <w:p>
      <w:pPr>
        <w:pStyle w:val="8"/>
      </w:pPr>
      <w:r>
        <w:t>按照绩效预算编制要求，现将我单位预算编制情况和绩效目标说明如下：</w:t>
      </w:r>
    </w:p>
    <w:p>
      <w:pPr>
        <w:pStyle w:val="8"/>
      </w:pPr>
      <w:r>
        <w:t>一、部门职责</w:t>
      </w:r>
    </w:p>
    <w:p>
      <w:pPr>
        <w:pStyle w:val="8"/>
      </w:pPr>
      <w:r>
        <w:t>玉田县机关事务中心主要职责研究制定管辖范围内后勤保障工作的规章制度并组织实施。</w:t>
      </w:r>
    </w:p>
    <w:p>
      <w:pPr>
        <w:pStyle w:val="8"/>
      </w:pPr>
      <w:r>
        <w:t>1、负责行政中心公共办公设施、后勤保障设施的建设、分配及日常维修维护，保障各类设施正常运转。</w:t>
      </w:r>
    </w:p>
    <w:p>
      <w:pPr>
        <w:pStyle w:val="8"/>
      </w:pPr>
      <w:r>
        <w:t>2、负责县直机关房地产地统一管理，拟订有关规章制度并组织实施，指导下级党政机关办公用房管理工作；负责党政机关办公用房（含技术业务用房）调配管理、租赁管理、使用监管工作。</w:t>
      </w:r>
    </w:p>
    <w:p>
      <w:pPr>
        <w:pStyle w:val="8"/>
      </w:pPr>
      <w:r>
        <w:t>3、负责制定全县公务用车管理办法并组织实施；负责指导监督县级党政机关公务用车管理工作；负责县公务平台管理工作。</w:t>
      </w:r>
    </w:p>
    <w:p>
      <w:pPr>
        <w:pStyle w:val="8"/>
      </w:pPr>
      <w:r>
        <w:t>4、负责推进、指导、协调、监督全县公共机构节能工作，以及县本级公共机构节能监督管理工作；会同有关部门制定县本级公共机构节能规划、规章制度并组织实施；会同有关部门制定县本级公共机构既有建筑节能改造计划并组织实施。</w:t>
      </w:r>
    </w:p>
    <w:p>
      <w:pPr>
        <w:pStyle w:val="8"/>
      </w:pPr>
      <w:r>
        <w:t>5、负责行政中心环境卫生管理及院内绿化等工作，保障行政中心整洁的工作环境。</w:t>
      </w:r>
    </w:p>
    <w:p>
      <w:pPr>
        <w:pStyle w:val="8"/>
      </w:pPr>
      <w:r>
        <w:t>6、负责行政中心公共秩序的维护及安全保卫工作，指导协调治安办做好行政中心安全防范、安全保卫及进出大院人员车辆的秩序维护工作。</w:t>
      </w:r>
    </w:p>
    <w:p>
      <w:pPr>
        <w:pStyle w:val="8"/>
      </w:pPr>
      <w:r>
        <w:t>7、负责行政中心生活服务。保障领导和机关工作人员就餐，搞好伙食管理和伙食调剂，不断提高服务质量。</w:t>
      </w:r>
    </w:p>
    <w:p>
      <w:pPr>
        <w:pStyle w:val="8"/>
      </w:pPr>
      <w:r>
        <w:t>8、负责县委、县政府领导办公室和会议室的管理与服务。</w:t>
      </w:r>
    </w:p>
    <w:p>
      <w:pPr>
        <w:pStyle w:val="8"/>
      </w:pPr>
      <w:r>
        <w:t>9、负责办理领导交办的其他事宜。</w:t>
      </w:r>
    </w:p>
    <w:p>
      <w:pPr>
        <w:pStyle w:val="8"/>
      </w:pPr>
      <w:r>
        <w:t>二、总体绩效目标为坚持以人为本，切实提高后勤保障能力。机关事务中心承担行政中心安全保卫、建设维修、绿化保洁以及食品卫生安全等后勤工作，这些工作事关机关干部职工切身利益，机关秩序的和谐稳定，自己始终把“以人为本，服务大局”作为工作目标，细化各项服务，确保机关安全稳定、运转有序。</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根据2025年度预算安排，本年度我单位分项绩效目标如下：</w:t>
      </w:r>
    </w:p>
    <w:p>
      <w:pPr>
        <w:pStyle w:val="9"/>
      </w:pPr>
      <w:r>
        <w:t>1、公车监督管理工作顺畅运行</w:t>
      </w:r>
    </w:p>
    <w:p>
      <w:pPr>
        <w:pStyle w:val="9"/>
      </w:pPr>
      <w:r>
        <w:t>绩效目标：2025年度继续严格执行公车保险、加油、维修“三定点”制度，实现公务用车管理规范化、制度化。继续实行分包责任制，每两个月定期进行一次全县公务用车督导检查工作并且每天进行线上督导检查，要求各单位将出现的问题及时整改，确保公务用车监管到位。</w:t>
      </w:r>
    </w:p>
    <w:p>
      <w:pPr>
        <w:pStyle w:val="9"/>
      </w:pPr>
      <w:r>
        <w:t>绩效指标：公务用车管理工作更加严谨规范，车辆完好率达到90%以上。</w:t>
      </w:r>
    </w:p>
    <w:p>
      <w:pPr>
        <w:pStyle w:val="9"/>
      </w:pPr>
      <w:r>
        <w:t>2、绿化保洁工作进一步加强</w:t>
      </w:r>
    </w:p>
    <w:p>
      <w:pPr>
        <w:pStyle w:val="9"/>
      </w:pPr>
      <w:r>
        <w:t>绩效目标：时刻坚持做好绿化更新与维护，及时对树皮脱落的树枝进行修剪，不断提高花园绿化覆盖率，维持行政中心的良好外观形象。时刻坚持做好卫生服务工作，定期对玻璃幕墙进行清洗，同时，实施了专人拍照检查的监督机制，每日进行楼内院内卫生巡查并拍照留痕，确保卫生标准得到严格执行。</w:t>
      </w:r>
    </w:p>
    <w:p>
      <w:pPr>
        <w:pStyle w:val="9"/>
      </w:pPr>
      <w:r>
        <w:t>绩效指标：机关形象长效提升，卫生服务质量提高，服务对象满意度达到90%以上。</w:t>
      </w:r>
    </w:p>
    <w:p>
      <w:pPr>
        <w:pStyle w:val="9"/>
      </w:pPr>
      <w:r>
        <w:t xml:space="preserve">3、进一步推进公共机构节能各项工作 </w:t>
      </w:r>
    </w:p>
    <w:p>
      <w:pPr>
        <w:pStyle w:val="9"/>
      </w:pPr>
      <w:r>
        <w:t>绩效目标：持续推进线下志愿服务活动，为我县节能工作打下基础。继续做好垃圾分类工作，</w:t>
      </w:r>
    </w:p>
    <w:p>
      <w:pPr>
        <w:pStyle w:val="9"/>
      </w:pPr>
      <w:r>
        <w:t>深化群众对垃圾分类重要性的认识。为我县其他公共机构建设“无废机关”做好了模范带头作用。</w:t>
      </w:r>
    </w:p>
    <w:p>
      <w:pPr>
        <w:pStyle w:val="9"/>
      </w:pPr>
      <w:r>
        <w:t xml:space="preserve">绩效指标：公共机构节能工作稳中向好，积极配合有关部门完成公共机构垃圾分类各项工作。 </w:t>
      </w:r>
    </w:p>
    <w:p>
      <w:pPr>
        <w:pStyle w:val="9"/>
      </w:pPr>
      <w:r>
        <w:t>4、办公用房管理工作持续推</w:t>
      </w:r>
    </w:p>
    <w:p>
      <w:pPr>
        <w:pStyle w:val="9"/>
      </w:pPr>
      <w:r>
        <w:t>绩效目标：对各单位办公用房的使用情况进行更加全面的了解，针对发现的问题，提出整改建议并限期整改到位，确保办公用房管理工作取得实效。</w:t>
      </w:r>
    </w:p>
    <w:p>
      <w:pPr>
        <w:pStyle w:val="9"/>
      </w:pPr>
      <w:r>
        <w:t>绩效指标：办公用房资源配置合理，利用率提高。</w:t>
      </w:r>
    </w:p>
    <w:p>
      <w:pPr>
        <w:pStyle w:val="9"/>
      </w:pPr>
      <w:r>
        <w:t>5、安全保卫工作更加有序</w:t>
      </w:r>
    </w:p>
    <w:p>
      <w:pPr>
        <w:pStyle w:val="9"/>
      </w:pPr>
      <w:r>
        <w:t>绩效目标：坚持人防、物防、技防相结合，充分利用人脸识别系统对进入行政中心的人员进行实名验证，坚持值班制度、结合公安局实行流动巡查和夜间巡查，确保大院安全保障“无盲区”。严格管控到行政中心办事人员，对于开会、取送件等非本院工作人员实施先联系并实名登记，确认无误后放行。高效快速协调上访工作，配合信访局、公安局值班人员处置各类上访事件。</w:t>
      </w:r>
    </w:p>
    <w:p>
      <w:pPr>
        <w:pStyle w:val="9"/>
      </w:pPr>
      <w:r>
        <w:t>绩效指标：保障行政中心进出安全，服务对象满意度达到95%以上。</w:t>
      </w:r>
    </w:p>
    <w:p>
      <w:pPr>
        <w:pStyle w:val="9"/>
      </w:pPr>
      <w:r>
        <w:t>6、机关食堂管理更加规范</w:t>
      </w:r>
    </w:p>
    <w:p>
      <w:pPr>
        <w:pStyle w:val="9"/>
      </w:pPr>
      <w:r>
        <w:t>绩效目标：认真贯彻执行《</w:t>
      </w:r>
      <w:r>
        <w:rPr>
          <w:rFonts w:hint="eastAsia"/>
          <w:lang w:eastAsia="zh-CN"/>
        </w:rPr>
        <w:t>中华人民共和国食品安全法</w:t>
      </w:r>
      <w:bookmarkStart w:id="6" w:name="_GoBack"/>
      <w:bookmarkEnd w:id="6"/>
      <w:r>
        <w:t>》，进一步严格规范食品卫生管理工作，盯紧食堂的食品安全、把握饭菜质量、严格食堂管理，坚决把不合格东西挡在食堂门外。</w:t>
      </w:r>
    </w:p>
    <w:p>
      <w:pPr>
        <w:pStyle w:val="9"/>
      </w:pPr>
      <w:r>
        <w:t>绩效指标：食品安全合格率达到100%，服务对象满意度达到90%以上。</w:t>
      </w: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一、完善制度建设。全面持续优化管理体制机制，不断完善制度标准体系，有效提升保障效能。</w:t>
      </w:r>
    </w:p>
    <w:p>
      <w:pPr>
        <w:pStyle w:val="10"/>
      </w:pPr>
      <w:r>
        <w:t>二、加强支出管理。通过优化支出结构、编细编实预算、加快履行政府采购手续、尽快启动项目、及时支付资金，确保支出进度达标。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1.残疾人保障金绩效目标表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445001玉田县机关事务中心本级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13022925P00JXC419701E</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w:t>
            </w:r>
          </w:p>
        </w:tc>
        <w:tc>
          <w:tcPr>
            <w:tcW w:w="1587" w:type="dxa"/>
            <w:vAlign w:val="center"/>
          </w:tcPr>
          <w:p>
            <w:pPr>
              <w:pStyle w:val="14"/>
            </w:pPr>
            <w:r>
              <w:t>其中：财政    资金</w:t>
            </w:r>
          </w:p>
        </w:tc>
        <w:tc>
          <w:tcPr>
            <w:tcW w:w="1304" w:type="dxa"/>
            <w:vAlign w:val="center"/>
          </w:tcPr>
          <w:p>
            <w:pPr>
              <w:pStyle w:val="13"/>
            </w:pPr>
            <w:r>
              <w:t>3000.00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用于残疾人保障支出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1.项目资金及时支出，保障残疾人权益。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困难残疾人和重度残疾人保障率</w:t>
            </w:r>
          </w:p>
        </w:tc>
        <w:tc>
          <w:tcPr>
            <w:tcW w:w="2891" w:type="dxa"/>
            <w:vAlign w:val="center"/>
          </w:tcPr>
          <w:p>
            <w:pPr>
              <w:pStyle w:val="13"/>
            </w:pPr>
            <w:r>
              <w:t>困难残疾人和重度残疾人保障率</w:t>
            </w:r>
          </w:p>
        </w:tc>
        <w:tc>
          <w:tcPr>
            <w:tcW w:w="1276" w:type="dxa"/>
            <w:vAlign w:val="center"/>
          </w:tcPr>
          <w:p>
            <w:pPr>
              <w:pStyle w:val="13"/>
            </w:pPr>
            <w:r>
              <w:t>长效提升</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按时拨付资金</w:t>
            </w:r>
          </w:p>
        </w:tc>
        <w:tc>
          <w:tcPr>
            <w:tcW w:w="2891" w:type="dxa"/>
            <w:vAlign w:val="center"/>
          </w:tcPr>
          <w:p>
            <w:pPr>
              <w:pStyle w:val="13"/>
            </w:pPr>
            <w:r>
              <w:t>按时拨付资金</w:t>
            </w:r>
          </w:p>
        </w:tc>
        <w:tc>
          <w:tcPr>
            <w:tcW w:w="1276" w:type="dxa"/>
            <w:vAlign w:val="center"/>
          </w:tcPr>
          <w:p>
            <w:pPr>
              <w:pStyle w:val="13"/>
            </w:pPr>
            <w:r>
              <w:t>按时拨付</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100资金百分百到位</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控制在预算金额内</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促进就业创业</w:t>
            </w:r>
          </w:p>
        </w:tc>
        <w:tc>
          <w:tcPr>
            <w:tcW w:w="2891" w:type="dxa"/>
            <w:vAlign w:val="center"/>
          </w:tcPr>
          <w:p>
            <w:pPr>
              <w:pStyle w:val="13"/>
            </w:pPr>
            <w:r>
              <w:t>促进就业创业</w:t>
            </w:r>
          </w:p>
        </w:tc>
        <w:tc>
          <w:tcPr>
            <w:tcW w:w="1276" w:type="dxa"/>
            <w:vAlign w:val="center"/>
          </w:tcPr>
          <w:p>
            <w:pPr>
              <w:pStyle w:val="13"/>
            </w:pPr>
            <w:r>
              <w:t>促进残疾人创业就业</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残疾人就业人数</w:t>
            </w:r>
          </w:p>
        </w:tc>
        <w:tc>
          <w:tcPr>
            <w:tcW w:w="2891" w:type="dxa"/>
            <w:vAlign w:val="center"/>
          </w:tcPr>
          <w:p>
            <w:pPr>
              <w:pStyle w:val="13"/>
            </w:pPr>
            <w:r>
              <w:t>残疾人就业人数</w:t>
            </w:r>
          </w:p>
        </w:tc>
        <w:tc>
          <w:tcPr>
            <w:tcW w:w="1276" w:type="dxa"/>
            <w:vAlign w:val="center"/>
          </w:tcPr>
          <w:p>
            <w:pPr>
              <w:pStyle w:val="13"/>
            </w:pPr>
            <w:r>
              <w:t>增加</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老残人员经费保障覆盖率</w:t>
            </w:r>
          </w:p>
        </w:tc>
        <w:tc>
          <w:tcPr>
            <w:tcW w:w="2891" w:type="dxa"/>
            <w:vAlign w:val="center"/>
          </w:tcPr>
          <w:p>
            <w:pPr>
              <w:pStyle w:val="13"/>
            </w:pPr>
            <w:r>
              <w:t>老残人员经费保障覆盖率</w:t>
            </w:r>
          </w:p>
        </w:tc>
        <w:tc>
          <w:tcPr>
            <w:tcW w:w="1276" w:type="dxa"/>
            <w:vAlign w:val="center"/>
          </w:tcPr>
          <w:p>
            <w:pPr>
              <w:pStyle w:val="13"/>
            </w:pPr>
            <w:r>
              <w:t>长效提升</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增强社会影响力</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受助人员满意度</w:t>
            </w:r>
          </w:p>
        </w:tc>
        <w:tc>
          <w:tcPr>
            <w:tcW w:w="2891" w:type="dxa"/>
            <w:vAlign w:val="center"/>
          </w:tcPr>
          <w:p>
            <w:pPr>
              <w:pStyle w:val="13"/>
            </w:pPr>
            <w:r>
              <w:t>受助人员满意度</w:t>
            </w:r>
          </w:p>
        </w:tc>
        <w:tc>
          <w:tcPr>
            <w:tcW w:w="1276" w:type="dxa"/>
            <w:vAlign w:val="center"/>
          </w:tcPr>
          <w:p>
            <w:pPr>
              <w:pStyle w:val="13"/>
            </w:pPr>
            <w:r>
              <w:t>≥95受助人员满意度大于等于95%</w:t>
            </w:r>
          </w:p>
        </w:tc>
        <w:tc>
          <w:tcPr>
            <w:tcW w:w="1843" w:type="dxa"/>
            <w:vAlign w:val="center"/>
          </w:tcPr>
          <w:p>
            <w:pPr>
              <w:pStyle w:val="13"/>
            </w:pPr>
            <w:r>
              <w:t>依据单位考核指标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2.公务用车平台办公室经费绩效目标表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445001玉田县机关事务中心本级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13022925P00JXC4199547</w:t>
            </w:r>
          </w:p>
        </w:tc>
        <w:tc>
          <w:tcPr>
            <w:tcW w:w="1587" w:type="dxa"/>
            <w:vAlign w:val="center"/>
          </w:tcPr>
          <w:p>
            <w:pPr>
              <w:pStyle w:val="14"/>
            </w:pPr>
            <w:r>
              <w:t>项目名称</w:t>
            </w:r>
          </w:p>
        </w:tc>
        <w:tc>
          <w:tcPr>
            <w:tcW w:w="4423" w:type="dxa"/>
            <w:gridSpan w:val="3"/>
            <w:vAlign w:val="center"/>
          </w:tcPr>
          <w:p>
            <w:pPr>
              <w:pStyle w:val="13"/>
            </w:pPr>
            <w:r>
              <w:t>公务用车平台办公室经费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保障公务用车平台办公室工作顺利开展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1.保证公务用车平台办公室工作正常开展。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举报线索处置率(%)</w:t>
            </w:r>
          </w:p>
        </w:tc>
        <w:tc>
          <w:tcPr>
            <w:tcW w:w="2891" w:type="dxa"/>
            <w:vAlign w:val="center"/>
          </w:tcPr>
          <w:p>
            <w:pPr>
              <w:pStyle w:val="13"/>
            </w:pPr>
            <w:r>
              <w:t>公务用车违规使用举报线索处置率(%)</w:t>
            </w:r>
          </w:p>
        </w:tc>
        <w:tc>
          <w:tcPr>
            <w:tcW w:w="1276" w:type="dxa"/>
            <w:vAlign w:val="center"/>
          </w:tcPr>
          <w:p>
            <w:pPr>
              <w:pStyle w:val="13"/>
            </w:pPr>
            <w:r>
              <w:t>100举报线索处置率达到百分百</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2891" w:type="dxa"/>
            <w:vAlign w:val="center"/>
          </w:tcPr>
          <w:p>
            <w:pPr>
              <w:pStyle w:val="13"/>
            </w:pPr>
            <w:r>
              <w:t>资金使用合规率</w:t>
            </w:r>
          </w:p>
        </w:tc>
        <w:tc>
          <w:tcPr>
            <w:tcW w:w="1276" w:type="dxa"/>
            <w:vAlign w:val="center"/>
          </w:tcPr>
          <w:p>
            <w:pPr>
              <w:pStyle w:val="13"/>
            </w:pPr>
            <w:r>
              <w:t>100资金使用合格率达到百分百</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≥95工作任务及时完成率达到百分之九十五以上</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运行保障成本</w:t>
            </w:r>
          </w:p>
        </w:tc>
        <w:tc>
          <w:tcPr>
            <w:tcW w:w="2891" w:type="dxa"/>
            <w:vAlign w:val="center"/>
          </w:tcPr>
          <w:p>
            <w:pPr>
              <w:pStyle w:val="13"/>
            </w:pPr>
            <w:r>
              <w:t>运行保障成本</w:t>
            </w:r>
          </w:p>
        </w:tc>
        <w:tc>
          <w:tcPr>
            <w:tcW w:w="1276" w:type="dxa"/>
            <w:vAlign w:val="center"/>
          </w:tcPr>
          <w:p>
            <w:pPr>
              <w:pStyle w:val="13"/>
            </w:pPr>
            <w:r>
              <w:t>平台运行保障成本不高于实际需求</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资金使用效率最大化</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保障机关单位正常运转</w:t>
            </w:r>
          </w:p>
        </w:tc>
        <w:tc>
          <w:tcPr>
            <w:tcW w:w="2891" w:type="dxa"/>
            <w:vAlign w:val="center"/>
          </w:tcPr>
          <w:p>
            <w:pPr>
              <w:pStyle w:val="13"/>
            </w:pPr>
            <w:r>
              <w:t>保障机关单位正常运转</w:t>
            </w:r>
          </w:p>
        </w:tc>
        <w:tc>
          <w:tcPr>
            <w:tcW w:w="1276" w:type="dxa"/>
            <w:vAlign w:val="center"/>
          </w:tcPr>
          <w:p>
            <w:pPr>
              <w:pStyle w:val="13"/>
            </w:pPr>
            <w:r>
              <w:t>保证机关单位公车定位系统正常使用</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w:t>
            </w:r>
          </w:p>
        </w:tc>
        <w:tc>
          <w:tcPr>
            <w:tcW w:w="2891" w:type="dxa"/>
            <w:vAlign w:val="center"/>
          </w:tcPr>
          <w:p>
            <w:pPr>
              <w:pStyle w:val="13"/>
            </w:pPr>
            <w:r>
              <w:t>环保节能</w:t>
            </w:r>
          </w:p>
        </w:tc>
        <w:tc>
          <w:tcPr>
            <w:tcW w:w="1276" w:type="dxa"/>
            <w:vAlign w:val="center"/>
          </w:tcPr>
          <w:p>
            <w:pPr>
              <w:pStyle w:val="13"/>
            </w:pPr>
            <w:r>
              <w:t>公车出行加大环保节能宣传</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强化国有资产管理</w:t>
            </w:r>
          </w:p>
        </w:tc>
        <w:tc>
          <w:tcPr>
            <w:tcW w:w="2891" w:type="dxa"/>
            <w:vAlign w:val="center"/>
          </w:tcPr>
          <w:p>
            <w:pPr>
              <w:pStyle w:val="13"/>
            </w:pPr>
            <w:r>
              <w:t>强化国有资产管理</w:t>
            </w:r>
          </w:p>
        </w:tc>
        <w:tc>
          <w:tcPr>
            <w:tcW w:w="1276" w:type="dxa"/>
            <w:vAlign w:val="center"/>
          </w:tcPr>
          <w:p>
            <w:pPr>
              <w:pStyle w:val="13"/>
            </w:pPr>
            <w:r>
              <w:t>加强监督管理公务用车</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≥95平台服务对象满意度达到百分之九十五以上</w:t>
            </w:r>
          </w:p>
        </w:tc>
        <w:tc>
          <w:tcPr>
            <w:tcW w:w="1843" w:type="dxa"/>
            <w:vAlign w:val="center"/>
          </w:tcPr>
          <w:p>
            <w:pPr>
              <w:pStyle w:val="13"/>
            </w:pPr>
            <w:r>
              <w:t>依据单位考核指标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3.行政中心电梯大修保养绩效目标表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445001玉田县机关事务中心本级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13022925P00JXC419951C</w:t>
            </w:r>
          </w:p>
        </w:tc>
        <w:tc>
          <w:tcPr>
            <w:tcW w:w="1587" w:type="dxa"/>
            <w:vAlign w:val="center"/>
          </w:tcPr>
          <w:p>
            <w:pPr>
              <w:pStyle w:val="14"/>
            </w:pPr>
            <w:r>
              <w:t>项目名称</w:t>
            </w:r>
          </w:p>
        </w:tc>
        <w:tc>
          <w:tcPr>
            <w:tcW w:w="4423" w:type="dxa"/>
            <w:gridSpan w:val="3"/>
            <w:vAlign w:val="center"/>
          </w:tcPr>
          <w:p>
            <w:pPr>
              <w:pStyle w:val="13"/>
            </w:pPr>
            <w:r>
              <w:t>行政中心电梯大修保养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152170.00</w:t>
            </w:r>
          </w:p>
        </w:tc>
        <w:tc>
          <w:tcPr>
            <w:tcW w:w="1587" w:type="dxa"/>
            <w:vAlign w:val="center"/>
          </w:tcPr>
          <w:p>
            <w:pPr>
              <w:pStyle w:val="14"/>
            </w:pPr>
            <w:r>
              <w:t>其中：财政    资金</w:t>
            </w:r>
          </w:p>
        </w:tc>
        <w:tc>
          <w:tcPr>
            <w:tcW w:w="1304" w:type="dxa"/>
            <w:vAlign w:val="center"/>
          </w:tcPr>
          <w:p>
            <w:pPr>
              <w:pStyle w:val="13"/>
            </w:pPr>
            <w:r>
              <w:t>152170.00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3"/>
            </w:pPr>
            <w:r>
              <w:t>用于行政中心电梯大修保养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1.解决安全隐患，提升机关服务水平与机关形象。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设备检修维护次数</w:t>
            </w:r>
          </w:p>
        </w:tc>
        <w:tc>
          <w:tcPr>
            <w:tcW w:w="2891" w:type="dxa"/>
            <w:vAlign w:val="center"/>
          </w:tcPr>
          <w:p>
            <w:pPr>
              <w:pStyle w:val="13"/>
            </w:pPr>
            <w:r>
              <w:t>设备检修维护次数</w:t>
            </w:r>
          </w:p>
        </w:tc>
        <w:tc>
          <w:tcPr>
            <w:tcW w:w="1276" w:type="dxa"/>
            <w:vAlign w:val="center"/>
          </w:tcPr>
          <w:p>
            <w:pPr>
              <w:pStyle w:val="13"/>
            </w:pPr>
            <w:r>
              <w:t>设备检修维护次数保质保量完成</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正常使用率</w:t>
            </w:r>
          </w:p>
        </w:tc>
        <w:tc>
          <w:tcPr>
            <w:tcW w:w="2891" w:type="dxa"/>
            <w:vAlign w:val="center"/>
          </w:tcPr>
          <w:p>
            <w:pPr>
              <w:pStyle w:val="13"/>
            </w:pPr>
            <w:r>
              <w:t>正常使用率</w:t>
            </w:r>
          </w:p>
        </w:tc>
        <w:tc>
          <w:tcPr>
            <w:tcW w:w="1276" w:type="dxa"/>
            <w:vAlign w:val="center"/>
          </w:tcPr>
          <w:p>
            <w:pPr>
              <w:pStyle w:val="13"/>
            </w:pPr>
            <w:r>
              <w:t>100电梯正常使用率达到百分之百</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如期完成</w:t>
            </w:r>
          </w:p>
        </w:tc>
        <w:tc>
          <w:tcPr>
            <w:tcW w:w="2891" w:type="dxa"/>
            <w:vAlign w:val="center"/>
          </w:tcPr>
          <w:p>
            <w:pPr>
              <w:pStyle w:val="13"/>
            </w:pPr>
            <w:r>
              <w:t>如期完成</w:t>
            </w:r>
          </w:p>
        </w:tc>
        <w:tc>
          <w:tcPr>
            <w:tcW w:w="1276" w:type="dxa"/>
            <w:vAlign w:val="center"/>
          </w:tcPr>
          <w:p>
            <w:pPr>
              <w:pStyle w:val="13"/>
            </w:pPr>
            <w:r>
              <w:t>电梯大修保养项目如期完成</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运行保障成本</w:t>
            </w:r>
          </w:p>
        </w:tc>
        <w:tc>
          <w:tcPr>
            <w:tcW w:w="2891" w:type="dxa"/>
            <w:vAlign w:val="center"/>
          </w:tcPr>
          <w:p>
            <w:pPr>
              <w:pStyle w:val="13"/>
            </w:pPr>
            <w:r>
              <w:t>运行保障成本</w:t>
            </w:r>
          </w:p>
        </w:tc>
        <w:tc>
          <w:tcPr>
            <w:tcW w:w="1276" w:type="dxa"/>
            <w:vAlign w:val="center"/>
          </w:tcPr>
          <w:p>
            <w:pPr>
              <w:pStyle w:val="13"/>
            </w:pPr>
            <w:r>
              <w:t>大修保养后电梯运行保障成本降低</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事故财产损失下降率（%）</w:t>
            </w:r>
          </w:p>
        </w:tc>
        <w:tc>
          <w:tcPr>
            <w:tcW w:w="2891" w:type="dxa"/>
            <w:vAlign w:val="center"/>
          </w:tcPr>
          <w:p>
            <w:pPr>
              <w:pStyle w:val="13"/>
            </w:pPr>
            <w:r>
              <w:t>事故财产损失下降率（%）</w:t>
            </w:r>
          </w:p>
        </w:tc>
        <w:tc>
          <w:tcPr>
            <w:tcW w:w="1276" w:type="dxa"/>
            <w:vAlign w:val="center"/>
          </w:tcPr>
          <w:p>
            <w:pPr>
              <w:pStyle w:val="13"/>
            </w:pPr>
            <w:r>
              <w:t>大修后事故财产损失减少</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提升公共服务水平</w:t>
            </w:r>
          </w:p>
        </w:tc>
        <w:tc>
          <w:tcPr>
            <w:tcW w:w="1276" w:type="dxa"/>
            <w:vAlign w:val="center"/>
          </w:tcPr>
          <w:p>
            <w:pPr>
              <w:pStyle w:val="13"/>
            </w:pPr>
            <w:r>
              <w:t>公共服务水平显著提高</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大修保养不影响生态环境</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长期实用性</w:t>
            </w:r>
          </w:p>
        </w:tc>
        <w:tc>
          <w:tcPr>
            <w:tcW w:w="2891" w:type="dxa"/>
            <w:vAlign w:val="center"/>
          </w:tcPr>
          <w:p>
            <w:pPr>
              <w:pStyle w:val="13"/>
            </w:pPr>
            <w:r>
              <w:t>长期实用性</w:t>
            </w:r>
          </w:p>
        </w:tc>
        <w:tc>
          <w:tcPr>
            <w:tcW w:w="1276" w:type="dxa"/>
            <w:vAlign w:val="center"/>
          </w:tcPr>
          <w:p>
            <w:pPr>
              <w:pStyle w:val="13"/>
            </w:pPr>
            <w:r>
              <w:t>电梯使用寿命延长、使用体验感增强</w:t>
            </w:r>
          </w:p>
        </w:tc>
        <w:tc>
          <w:tcPr>
            <w:tcW w:w="1843" w:type="dxa"/>
            <w:vAlign w:val="center"/>
          </w:tcPr>
          <w:p>
            <w:pPr>
              <w:pStyle w:val="13"/>
            </w:pPr>
            <w:r>
              <w:t>依据单位考核指标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≥95服务对象满意度达到百分之九十五以上</w:t>
            </w:r>
          </w:p>
        </w:tc>
        <w:tc>
          <w:tcPr>
            <w:tcW w:w="1843" w:type="dxa"/>
            <w:vAlign w:val="center"/>
          </w:tcPr>
          <w:p>
            <w:pPr>
              <w:pStyle w:val="13"/>
            </w:pPr>
            <w:r>
              <w:t>依据单位考核指标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BD13D"/>
    <w:rsid w:val="BEDF09D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TotalTime>0</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2025-01-18T02:16:00Z</dcterms:created>
  <dc:creator>baixin</dc:creator>
  <cp:lastModifiedBy>baixin</cp:lastModifiedBy>
  <dcterms:modified xsi:type="dcterms:W3CDTF">2025-04-25T13:53:23Z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A0BFD9075075E65E23230B68147151FA</vt:lpwstr>
  </property>
</Properties>
</file>