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玉田县社会保险服务中心</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玉田县社会保险服务中心编制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1.冀财社[2022]174号2023年省级城乡居民社会保险代办员补助资金绩效目标表</w:t>
      </w:r>
      <w:r>
        <w:tab/>
      </w:r>
      <w:r>
        <w:fldChar w:fldCharType="begin"/>
      </w:r>
      <w:r>
        <w:instrText xml:space="preserve">PAGEREF _Toc_4_4_0000000004 \h</w:instrText>
      </w:r>
      <w:r>
        <w:fldChar w:fldCharType="separate"/>
      </w:r>
      <w:r>
        <w:t>5</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2.冀财社[2023]214号下达2024年省级城乡居民社会保险代办员补助资金绩效目标表</w:t>
      </w:r>
      <w:r>
        <w:tab/>
      </w:r>
      <w:r>
        <w:fldChar w:fldCharType="begin"/>
      </w:r>
      <w:r>
        <w:instrText xml:space="preserve">PAGEREF _Toc_4_4_0000000005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3.专项业务费绩效目标表</w:t>
      </w:r>
      <w:r>
        <w:tab/>
      </w:r>
      <w:r>
        <w:fldChar w:fldCharType="begin"/>
      </w:r>
      <w:r>
        <w:instrText xml:space="preserve">PAGEREF _Toc_4_4_0000000006 \h</w:instrText>
      </w:r>
      <w:r>
        <w:fldChar w:fldCharType="separate"/>
      </w:r>
      <w:r>
        <w:t>7</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总体绩效目标</w:t>
      </w:r>
    </w:p>
    <w:p>
      <w:pPr>
        <w:pStyle w:val="8"/>
      </w:pPr>
      <w:r>
        <w:t>加大宣传力度，扩大各基金险种基本养老保险覆盖面。贯彻《中华人民共和国社会保险法》（2011年7月1日正式实施），印制宣传资料，组织我局工作人员上街及深入企业进行大力宣传；在组织企业换发社会保险登记证的同时，发放《中华人民共和国社会保险法》宣传资料，扩大社会保险的影响力，促进城镇个体工商户、灵活就业人员、私营企业劳动者积极参保。</w:t>
      </w:r>
    </w:p>
    <w:p>
      <w:pPr>
        <w:pStyle w:val="8"/>
      </w:pPr>
      <w:r>
        <w:t>继续开展以工伤保险待遇支付为重点的稽核工作，将养老保险缴费人数与工伤保险缴费人数挂钩，纳入稽核工作内容，进一步加大养老保险、工伤保险扩面力度，力争工伤保险全覆盖。</w:t>
      </w:r>
    </w:p>
    <w:p>
      <w:pPr>
        <w:pStyle w:val="8"/>
      </w:pPr>
      <w:r>
        <w:t>为确保养老金及时足额发放，积极向省、市、县部门申请养老保险调剂金级财政补助收入。</w:t>
      </w:r>
    </w:p>
    <w:p>
      <w:pPr>
        <w:pStyle w:val="8"/>
      </w:pPr>
      <w:r>
        <w:t>创新待遇领取人员人员的认证方法，加大宣传力度，企采用新方法、新设备、新技术，让退休人员在所在乡镇、社区或领取养老金处进行认证，外地退休人员通过邮寄提供生存信息认证。既方便了广大企业退休人员，又加强了监管。</w:t>
      </w:r>
    </w:p>
    <w:p>
      <w:pPr>
        <w:pStyle w:val="8"/>
      </w:pPr>
      <w:r>
        <w:t>养老、失业、工伤、城乡居民保险费依法依规、按时足额征缴，保险待遇按时足额支付，完成省市县各级主管部门下达的任务目标。</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分项绩效目标</w:t>
      </w:r>
    </w:p>
    <w:p>
      <w:pPr>
        <w:pStyle w:val="9"/>
      </w:pPr>
      <w:r>
        <w:t>一、项目分项绩效目标</w:t>
      </w:r>
    </w:p>
    <w:p>
      <w:pPr>
        <w:pStyle w:val="9"/>
      </w:pPr>
      <w:r>
        <w:t>1、“省级城乡居民养老村级代办员补助”项目年初预算安排12.75万元，其中2023年结转0.75万元，2024年12万元。项目主要目标为补助城乡居民养老保险村级代办员，确保城乡居民养老保险基层经办工作顺利开展。</w:t>
      </w:r>
    </w:p>
    <w:p>
      <w:pPr>
        <w:pStyle w:val="9"/>
      </w:pPr>
      <w:r>
        <w:t>2、“专项业务费”项目年初预算排15万元，项目主要目标为保障社会保险经办机构工作正常开展的补助资金。</w:t>
      </w:r>
    </w:p>
    <w:p>
      <w:pPr>
        <w:pStyle w:val="9"/>
      </w:pPr>
      <w:r>
        <w:t>二、人员经费绩效目标</w:t>
      </w:r>
    </w:p>
    <w:p>
      <w:pPr>
        <w:pStyle w:val="9"/>
      </w:pPr>
      <w:r>
        <w:t>人员经费年初预算安排695.35万元，项目主要目标为保障单位在职人员工资正常发放、保险正常缴纳，福利待遇正常享受。</w:t>
      </w:r>
    </w:p>
    <w:p>
      <w:pPr>
        <w:pStyle w:val="9"/>
      </w:pPr>
      <w:r>
        <w:t>三、日常公用经费绩效目标</w:t>
      </w:r>
    </w:p>
    <w:p>
      <w:pPr>
        <w:pStyle w:val="9"/>
      </w:pPr>
      <w:r>
        <w:t>日常公用经费年初预算安排19.36万元，此项目标主要为保障机关各项工作正常运行。</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工作保障措施</w:t>
      </w:r>
    </w:p>
    <w:p>
      <w:pPr>
        <w:pStyle w:val="10"/>
      </w:pPr>
      <w:r>
        <w:t>一、严格按照《中华人民共和国社会保险法》和社会保险经办规程开展各项基金的收支业务</w:t>
      </w:r>
    </w:p>
    <w:p>
      <w:pPr>
        <w:pStyle w:val="10"/>
      </w:pPr>
      <w:r>
        <w:t>二、各基金险种严格按照指标文件标准进行拨款和使用</w:t>
      </w:r>
    </w:p>
    <w:p>
      <w:pPr>
        <w:pStyle w:val="10"/>
      </w:pPr>
      <w:r>
        <w:t>三、加强内部监督，定期开展自查</w:t>
      </w:r>
    </w:p>
    <w:p>
      <w:pPr>
        <w:pStyle w:val="10"/>
      </w:pPr>
      <w:r>
        <w:t>四、配合省市定期基金检查，发现问题及时整改</w:t>
      </w:r>
    </w:p>
    <w:p>
      <w:pPr>
        <w:pStyle w:val="10"/>
      </w:pPr>
      <w:r>
        <w:t>五、严格落实内控制度、审批制度</w:t>
      </w:r>
    </w:p>
    <w:p>
      <w:pPr>
        <w:pStyle w:val="10"/>
      </w:pPr>
      <w:r>
        <w:t>六、严格按照岗位权限设置进行工作，定期轮岗</w:t>
      </w:r>
    </w:p>
    <w:p>
      <w:pPr>
        <w:pStyle w:val="10"/>
      </w:pPr>
      <w:r>
        <w:t>七、加大宣传力度，扩大企业基本养老保险覆盖面。贯彻《中华人民共和国</w:t>
      </w:r>
      <w:bookmarkStart w:id="6" w:name="_GoBack"/>
      <w:bookmarkEnd w:id="6"/>
      <w:r>
        <w:t>社会保险法》，印制宣传资料，组织我局工作人员上街及深入企业进行大力宣传；在组织企业换发社会保险登记证的同时，发放《中华人民共和国社会保险法》宣传资料，扩大社会保险的影响力，促进城镇个体工商户、灵活就业人员、私营企业劳动者积极参保。</w:t>
      </w:r>
    </w:p>
    <w:p>
      <w:pPr>
        <w:pStyle w:val="10"/>
      </w:pPr>
      <w:r>
        <w:t>八继续开展以工伤保险待遇支付为重点的稽核工作，将养老保险缴费人数与工伤保险缴费人数挂钩，纳入稽核工作内容，进一步加大养老保险、工伤保险扩面力度，力争工伤保险全覆盖。　　</w:t>
      </w:r>
    </w:p>
    <w:p>
      <w:pPr>
        <w:pStyle w:val="10"/>
      </w:pPr>
      <w:r>
        <w:t>九确保企业养老、失业、工伤保险“三险合一”软件的正常运转，做好基金征缴工作。养老、失业、工伤、城乡居民保险费依法依规、按时足额征缴，完成省市县各级主管部门下达的任务目标。</w:t>
      </w:r>
    </w:p>
    <w:p>
      <w:pPr>
        <w:pStyle w:val="10"/>
      </w:pPr>
      <w:r>
        <w:t>十发放相关待遇时，严格审核企业以及待遇领取人上报的相关材料，严格履行审批手续，确保各项待遇发放及时、规范。</w:t>
      </w:r>
    </w:p>
    <w:p>
      <w:pPr>
        <w:pStyle w:val="10"/>
      </w:pPr>
      <w:r>
        <w:t>十一按照上级要求和我局工作计划做好相关待遇领取人员资格认证工作，使离退休人员足不出户就可完成生存认证,坚决杜绝冒领社会保险待遇现象的发生。</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1.冀财社[2022]174号2023年省级城乡居民社会保险代办员补助资金绩效目标表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326001玉田县社会保险服务中心本级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13022923P000BR010630R</w:t>
            </w:r>
          </w:p>
        </w:tc>
        <w:tc>
          <w:tcPr>
            <w:tcW w:w="1587" w:type="dxa"/>
            <w:vAlign w:val="center"/>
          </w:tcPr>
          <w:p>
            <w:pPr>
              <w:pStyle w:val="14"/>
            </w:pPr>
            <w:r>
              <w:t>项目名称</w:t>
            </w:r>
          </w:p>
        </w:tc>
        <w:tc>
          <w:tcPr>
            <w:tcW w:w="4422" w:type="dxa"/>
            <w:gridSpan w:val="3"/>
            <w:vAlign w:val="center"/>
          </w:tcPr>
          <w:p>
            <w:pPr>
              <w:pStyle w:val="13"/>
            </w:pPr>
            <w:r>
              <w:t>冀财社[2022]174号2023年省级城乡居民社会保险代办员补助资金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7479.66</w:t>
            </w:r>
          </w:p>
        </w:tc>
        <w:tc>
          <w:tcPr>
            <w:tcW w:w="1587" w:type="dxa"/>
            <w:vAlign w:val="center"/>
          </w:tcPr>
          <w:p>
            <w:pPr>
              <w:pStyle w:val="14"/>
            </w:pPr>
            <w:r>
              <w:t>其中：财政    资金</w:t>
            </w:r>
          </w:p>
        </w:tc>
        <w:tc>
          <w:tcPr>
            <w:tcW w:w="1304" w:type="dxa"/>
            <w:vAlign w:val="center"/>
          </w:tcPr>
          <w:p>
            <w:pPr>
              <w:pStyle w:val="13"/>
            </w:pPr>
            <w:r>
              <w:t>7479.66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城乡居民社会养老保险村级代办员补助资金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1.城乡居民社会养老保险村级代办员补助资金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完成率</w:t>
            </w:r>
          </w:p>
        </w:tc>
        <w:tc>
          <w:tcPr>
            <w:tcW w:w="2891" w:type="dxa"/>
            <w:vAlign w:val="center"/>
          </w:tcPr>
          <w:p>
            <w:pPr>
              <w:pStyle w:val="13"/>
            </w:pPr>
            <w:r>
              <w:t>按时完成征缴任务</w:t>
            </w:r>
          </w:p>
        </w:tc>
        <w:tc>
          <w:tcPr>
            <w:tcW w:w="1276" w:type="dxa"/>
            <w:vAlign w:val="center"/>
          </w:tcPr>
          <w:p>
            <w:pPr>
              <w:pStyle w:val="13"/>
            </w:pPr>
            <w:r>
              <w:t>100征缴期区间</w:t>
            </w:r>
          </w:p>
        </w:tc>
        <w:tc>
          <w:tcPr>
            <w:tcW w:w="1843" w:type="dxa"/>
            <w:vAlign w:val="center"/>
          </w:tcPr>
          <w:p>
            <w:pPr>
              <w:pStyle w:val="13"/>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拨付率</w:t>
            </w:r>
          </w:p>
        </w:tc>
        <w:tc>
          <w:tcPr>
            <w:tcW w:w="2891" w:type="dxa"/>
            <w:vAlign w:val="center"/>
          </w:tcPr>
          <w:p>
            <w:pPr>
              <w:pStyle w:val="13"/>
            </w:pPr>
            <w:r>
              <w:t>补助资金及时拨付</w:t>
            </w:r>
          </w:p>
        </w:tc>
        <w:tc>
          <w:tcPr>
            <w:tcW w:w="1276" w:type="dxa"/>
            <w:vAlign w:val="center"/>
          </w:tcPr>
          <w:p>
            <w:pPr>
              <w:pStyle w:val="13"/>
            </w:pPr>
            <w:r>
              <w:t>100征缴结束后</w:t>
            </w:r>
          </w:p>
        </w:tc>
        <w:tc>
          <w:tcPr>
            <w:tcW w:w="1843" w:type="dxa"/>
            <w:vAlign w:val="center"/>
          </w:tcPr>
          <w:p>
            <w:pPr>
              <w:pStyle w:val="13"/>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工作效率</w:t>
            </w:r>
          </w:p>
        </w:tc>
        <w:tc>
          <w:tcPr>
            <w:tcW w:w="2891" w:type="dxa"/>
            <w:vAlign w:val="center"/>
          </w:tcPr>
          <w:p>
            <w:pPr>
              <w:pStyle w:val="13"/>
            </w:pPr>
            <w:r>
              <w:t>提高村级代办员工作积极性</w:t>
            </w:r>
          </w:p>
        </w:tc>
        <w:tc>
          <w:tcPr>
            <w:tcW w:w="1276" w:type="dxa"/>
            <w:vAlign w:val="center"/>
          </w:tcPr>
          <w:p>
            <w:pPr>
              <w:pStyle w:val="13"/>
            </w:pPr>
            <w:r>
              <w:t>100效率</w:t>
            </w:r>
          </w:p>
        </w:tc>
        <w:tc>
          <w:tcPr>
            <w:tcW w:w="1843" w:type="dxa"/>
            <w:vAlign w:val="center"/>
          </w:tcPr>
          <w:p>
            <w:pPr>
              <w:pStyle w:val="13"/>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人均发放水平</w:t>
            </w:r>
          </w:p>
        </w:tc>
        <w:tc>
          <w:tcPr>
            <w:tcW w:w="2891" w:type="dxa"/>
            <w:vAlign w:val="center"/>
          </w:tcPr>
          <w:p>
            <w:pPr>
              <w:pStyle w:val="13"/>
            </w:pPr>
            <w:r>
              <w:t>人均发放水平</w:t>
            </w:r>
          </w:p>
        </w:tc>
        <w:tc>
          <w:tcPr>
            <w:tcW w:w="1276" w:type="dxa"/>
            <w:vAlign w:val="center"/>
          </w:tcPr>
          <w:p>
            <w:pPr>
              <w:pStyle w:val="13"/>
            </w:pPr>
            <w:r>
              <w:t>100按行政村平均分配</w:t>
            </w:r>
          </w:p>
        </w:tc>
        <w:tc>
          <w:tcPr>
            <w:tcW w:w="1843" w:type="dxa"/>
            <w:vAlign w:val="center"/>
          </w:tcPr>
          <w:p>
            <w:pPr>
              <w:pStyle w:val="13"/>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确保资助项目政治导向正确</w:t>
            </w:r>
          </w:p>
        </w:tc>
        <w:tc>
          <w:tcPr>
            <w:tcW w:w="2891" w:type="dxa"/>
            <w:vAlign w:val="center"/>
          </w:tcPr>
          <w:p>
            <w:pPr>
              <w:pStyle w:val="13"/>
            </w:pPr>
            <w:r>
              <w:t>资助项目不出现上级通报的意识形态重大问题（个）</w:t>
            </w:r>
          </w:p>
        </w:tc>
        <w:tc>
          <w:tcPr>
            <w:tcW w:w="1276" w:type="dxa"/>
            <w:vAlign w:val="center"/>
          </w:tcPr>
          <w:p>
            <w:pPr>
              <w:pStyle w:val="13"/>
            </w:pPr>
            <w:r>
              <w:t>100专款使用</w:t>
            </w:r>
          </w:p>
        </w:tc>
        <w:tc>
          <w:tcPr>
            <w:tcW w:w="1843" w:type="dxa"/>
            <w:vAlign w:val="center"/>
          </w:tcPr>
          <w:p>
            <w:pPr>
              <w:pStyle w:val="13"/>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长期使用性</w:t>
            </w:r>
          </w:p>
        </w:tc>
        <w:tc>
          <w:tcPr>
            <w:tcW w:w="2891" w:type="dxa"/>
            <w:vAlign w:val="center"/>
          </w:tcPr>
          <w:p>
            <w:pPr>
              <w:pStyle w:val="13"/>
            </w:pPr>
            <w:r>
              <w:t>能够长期较好地开展基层村级代办员征收城乡居民养老保险。</w:t>
            </w:r>
          </w:p>
        </w:tc>
        <w:tc>
          <w:tcPr>
            <w:tcW w:w="1276" w:type="dxa"/>
            <w:vAlign w:val="center"/>
          </w:tcPr>
          <w:p>
            <w:pPr>
              <w:pStyle w:val="13"/>
            </w:pPr>
            <w:r>
              <w:t>100基层工作稳定开展</w:t>
            </w:r>
          </w:p>
        </w:tc>
        <w:tc>
          <w:tcPr>
            <w:tcW w:w="1843" w:type="dxa"/>
            <w:vAlign w:val="center"/>
          </w:tcPr>
          <w:p>
            <w:pPr>
              <w:pStyle w:val="13"/>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服务水平</w:t>
            </w:r>
          </w:p>
        </w:tc>
        <w:tc>
          <w:tcPr>
            <w:tcW w:w="2891" w:type="dxa"/>
            <w:vAlign w:val="center"/>
          </w:tcPr>
          <w:p>
            <w:pPr>
              <w:pStyle w:val="13"/>
            </w:pPr>
            <w:r>
              <w:t>提高平村级代办员工作积极性，提高服务水平</w:t>
            </w:r>
          </w:p>
        </w:tc>
        <w:tc>
          <w:tcPr>
            <w:tcW w:w="1276" w:type="dxa"/>
            <w:vAlign w:val="center"/>
          </w:tcPr>
          <w:p>
            <w:pPr>
              <w:pStyle w:val="13"/>
            </w:pPr>
            <w:r>
              <w:t>100工作效率</w:t>
            </w:r>
          </w:p>
        </w:tc>
        <w:tc>
          <w:tcPr>
            <w:tcW w:w="1843" w:type="dxa"/>
            <w:vAlign w:val="center"/>
          </w:tcPr>
          <w:p>
            <w:pPr>
              <w:pStyle w:val="13"/>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社会保障制度更加公平可持续</w:t>
            </w:r>
          </w:p>
        </w:tc>
        <w:tc>
          <w:tcPr>
            <w:tcW w:w="2891" w:type="dxa"/>
            <w:vAlign w:val="center"/>
          </w:tcPr>
          <w:p>
            <w:pPr>
              <w:pStyle w:val="13"/>
            </w:pPr>
            <w:r>
              <w:t>社会保障制度更加公平可持续</w:t>
            </w:r>
          </w:p>
        </w:tc>
        <w:tc>
          <w:tcPr>
            <w:tcW w:w="1276" w:type="dxa"/>
            <w:vAlign w:val="center"/>
          </w:tcPr>
          <w:p>
            <w:pPr>
              <w:pStyle w:val="13"/>
            </w:pPr>
            <w:r>
              <w:t>≥95城乡居民养老征缴可持续</w:t>
            </w:r>
          </w:p>
        </w:tc>
        <w:tc>
          <w:tcPr>
            <w:tcW w:w="1843" w:type="dxa"/>
            <w:vAlign w:val="center"/>
          </w:tcPr>
          <w:p>
            <w:pPr>
              <w:pStyle w:val="13"/>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接受城乡居民养老保险参保人员人群对基层村级代办员提供服务的满意程度</w:t>
            </w:r>
          </w:p>
        </w:tc>
        <w:tc>
          <w:tcPr>
            <w:tcW w:w="1276" w:type="dxa"/>
            <w:vAlign w:val="center"/>
          </w:tcPr>
          <w:p>
            <w:pPr>
              <w:pStyle w:val="13"/>
            </w:pPr>
            <w:r>
              <w:t>≥95对接受服务的满意度</w:t>
            </w:r>
          </w:p>
        </w:tc>
        <w:tc>
          <w:tcPr>
            <w:tcW w:w="1843" w:type="dxa"/>
            <w:vAlign w:val="center"/>
          </w:tcPr>
          <w:p>
            <w:pPr>
              <w:pStyle w:val="13"/>
            </w:pPr>
            <w:r>
              <w:t>冀财社【2022】174号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2.冀财社[2023]214号下达2024年省级城乡居民社会保险代办员补助资金绩效目标表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326001玉田县社会保险服务中心本级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13022924P000BR0109189</w:t>
            </w:r>
          </w:p>
        </w:tc>
        <w:tc>
          <w:tcPr>
            <w:tcW w:w="1587" w:type="dxa"/>
            <w:vAlign w:val="center"/>
          </w:tcPr>
          <w:p>
            <w:pPr>
              <w:pStyle w:val="14"/>
            </w:pPr>
            <w:r>
              <w:t>项目名称</w:t>
            </w:r>
          </w:p>
        </w:tc>
        <w:tc>
          <w:tcPr>
            <w:tcW w:w="4422" w:type="dxa"/>
            <w:gridSpan w:val="3"/>
            <w:vAlign w:val="center"/>
          </w:tcPr>
          <w:p>
            <w:pPr>
              <w:pStyle w:val="13"/>
            </w:pPr>
            <w:r>
              <w:t>冀财社[2023]214号下达2024年省级城乡居民社会保险代办员补助资金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120000.00</w:t>
            </w:r>
          </w:p>
        </w:tc>
        <w:tc>
          <w:tcPr>
            <w:tcW w:w="1587" w:type="dxa"/>
            <w:vAlign w:val="center"/>
          </w:tcPr>
          <w:p>
            <w:pPr>
              <w:pStyle w:val="14"/>
            </w:pPr>
            <w:r>
              <w:t>其中：财政    资金</w:t>
            </w:r>
          </w:p>
        </w:tc>
        <w:tc>
          <w:tcPr>
            <w:tcW w:w="1304" w:type="dxa"/>
            <w:vAlign w:val="center"/>
          </w:tcPr>
          <w:p>
            <w:pPr>
              <w:pStyle w:val="13"/>
            </w:pPr>
            <w:r>
              <w:t>120000.00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城乡居民养老保险代办员省级补助资金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1.征缴期结束后及时发放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完成率</w:t>
            </w:r>
          </w:p>
        </w:tc>
        <w:tc>
          <w:tcPr>
            <w:tcW w:w="2891" w:type="dxa"/>
            <w:vAlign w:val="center"/>
          </w:tcPr>
          <w:p>
            <w:pPr>
              <w:pStyle w:val="13"/>
            </w:pPr>
            <w:r>
              <w:t>按时完成征缴任务</w:t>
            </w:r>
          </w:p>
        </w:tc>
        <w:tc>
          <w:tcPr>
            <w:tcW w:w="1276" w:type="dxa"/>
            <w:vAlign w:val="center"/>
          </w:tcPr>
          <w:p>
            <w:pPr>
              <w:pStyle w:val="13"/>
            </w:pPr>
            <w:r>
              <w:t>100征缴期区间</w:t>
            </w:r>
          </w:p>
        </w:tc>
        <w:tc>
          <w:tcPr>
            <w:tcW w:w="1843" w:type="dxa"/>
            <w:vAlign w:val="center"/>
          </w:tcPr>
          <w:p>
            <w:pPr>
              <w:pStyle w:val="13"/>
            </w:pPr>
            <w:r>
              <w:t>冀财社【2023】214号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拨付率</w:t>
            </w:r>
          </w:p>
        </w:tc>
        <w:tc>
          <w:tcPr>
            <w:tcW w:w="2891" w:type="dxa"/>
            <w:vAlign w:val="center"/>
          </w:tcPr>
          <w:p>
            <w:pPr>
              <w:pStyle w:val="13"/>
            </w:pPr>
            <w:r>
              <w:t>补助资金及时拨付</w:t>
            </w:r>
          </w:p>
        </w:tc>
        <w:tc>
          <w:tcPr>
            <w:tcW w:w="1276" w:type="dxa"/>
            <w:vAlign w:val="center"/>
          </w:tcPr>
          <w:p>
            <w:pPr>
              <w:pStyle w:val="13"/>
            </w:pPr>
            <w:r>
              <w:t>100征缴结束后</w:t>
            </w:r>
          </w:p>
        </w:tc>
        <w:tc>
          <w:tcPr>
            <w:tcW w:w="1843" w:type="dxa"/>
            <w:vAlign w:val="center"/>
          </w:tcPr>
          <w:p>
            <w:pPr>
              <w:pStyle w:val="13"/>
            </w:pPr>
            <w:r>
              <w:t>冀财社【2023】214号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工作效率</w:t>
            </w:r>
          </w:p>
        </w:tc>
        <w:tc>
          <w:tcPr>
            <w:tcW w:w="2891" w:type="dxa"/>
            <w:vAlign w:val="center"/>
          </w:tcPr>
          <w:p>
            <w:pPr>
              <w:pStyle w:val="13"/>
            </w:pPr>
            <w:r>
              <w:t>提高村级代办员工作积极性</w:t>
            </w:r>
          </w:p>
        </w:tc>
        <w:tc>
          <w:tcPr>
            <w:tcW w:w="1276" w:type="dxa"/>
            <w:vAlign w:val="center"/>
          </w:tcPr>
          <w:p>
            <w:pPr>
              <w:pStyle w:val="13"/>
            </w:pPr>
            <w:r>
              <w:t>100效率</w:t>
            </w:r>
          </w:p>
        </w:tc>
        <w:tc>
          <w:tcPr>
            <w:tcW w:w="1843" w:type="dxa"/>
            <w:vAlign w:val="center"/>
          </w:tcPr>
          <w:p>
            <w:pPr>
              <w:pStyle w:val="13"/>
            </w:pPr>
            <w:r>
              <w:t>冀财社【2023】214号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人均发放水平</w:t>
            </w:r>
          </w:p>
        </w:tc>
        <w:tc>
          <w:tcPr>
            <w:tcW w:w="2891" w:type="dxa"/>
            <w:vAlign w:val="center"/>
          </w:tcPr>
          <w:p>
            <w:pPr>
              <w:pStyle w:val="13"/>
            </w:pPr>
            <w:r>
              <w:t>人均发放水平</w:t>
            </w:r>
          </w:p>
        </w:tc>
        <w:tc>
          <w:tcPr>
            <w:tcW w:w="1276" w:type="dxa"/>
            <w:vAlign w:val="center"/>
          </w:tcPr>
          <w:p>
            <w:pPr>
              <w:pStyle w:val="13"/>
            </w:pPr>
            <w:r>
              <w:t>100按行政村平均分配</w:t>
            </w:r>
          </w:p>
        </w:tc>
        <w:tc>
          <w:tcPr>
            <w:tcW w:w="1843" w:type="dxa"/>
            <w:vAlign w:val="center"/>
          </w:tcPr>
          <w:p>
            <w:pPr>
              <w:pStyle w:val="13"/>
            </w:pPr>
            <w:r>
              <w:t>冀财社【2023】214号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确保资助项目政治导向正确</w:t>
            </w:r>
          </w:p>
        </w:tc>
        <w:tc>
          <w:tcPr>
            <w:tcW w:w="2891" w:type="dxa"/>
            <w:vAlign w:val="center"/>
          </w:tcPr>
          <w:p>
            <w:pPr>
              <w:pStyle w:val="13"/>
            </w:pPr>
            <w:r>
              <w:t>资助项目不出现上级通报的意识形态重大问题（个）</w:t>
            </w:r>
          </w:p>
        </w:tc>
        <w:tc>
          <w:tcPr>
            <w:tcW w:w="1276" w:type="dxa"/>
            <w:vAlign w:val="center"/>
          </w:tcPr>
          <w:p>
            <w:pPr>
              <w:pStyle w:val="13"/>
            </w:pPr>
            <w:r>
              <w:t>100专款使用</w:t>
            </w:r>
          </w:p>
        </w:tc>
        <w:tc>
          <w:tcPr>
            <w:tcW w:w="1843" w:type="dxa"/>
            <w:vAlign w:val="center"/>
          </w:tcPr>
          <w:p>
            <w:pPr>
              <w:pStyle w:val="13"/>
            </w:pPr>
            <w:r>
              <w:t>冀财社【2023】214号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长期使用性</w:t>
            </w:r>
          </w:p>
        </w:tc>
        <w:tc>
          <w:tcPr>
            <w:tcW w:w="2891" w:type="dxa"/>
            <w:vAlign w:val="center"/>
          </w:tcPr>
          <w:p>
            <w:pPr>
              <w:pStyle w:val="13"/>
            </w:pPr>
            <w:r>
              <w:t>能够长期较好地开展基层村级代办员征收城乡居民养老保险。</w:t>
            </w:r>
          </w:p>
        </w:tc>
        <w:tc>
          <w:tcPr>
            <w:tcW w:w="1276" w:type="dxa"/>
            <w:vAlign w:val="center"/>
          </w:tcPr>
          <w:p>
            <w:pPr>
              <w:pStyle w:val="13"/>
            </w:pPr>
            <w:r>
              <w:t>100基层工作稳定开展</w:t>
            </w:r>
          </w:p>
        </w:tc>
        <w:tc>
          <w:tcPr>
            <w:tcW w:w="1843" w:type="dxa"/>
            <w:vAlign w:val="center"/>
          </w:tcPr>
          <w:p>
            <w:pPr>
              <w:pStyle w:val="13"/>
            </w:pPr>
            <w:r>
              <w:t>冀财社【2023】214号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服务水平</w:t>
            </w:r>
          </w:p>
        </w:tc>
        <w:tc>
          <w:tcPr>
            <w:tcW w:w="2891" w:type="dxa"/>
            <w:vAlign w:val="center"/>
          </w:tcPr>
          <w:p>
            <w:pPr>
              <w:pStyle w:val="13"/>
            </w:pPr>
            <w:r>
              <w:t>提高平村级代办员工作积极性，提高服务水平</w:t>
            </w:r>
          </w:p>
        </w:tc>
        <w:tc>
          <w:tcPr>
            <w:tcW w:w="1276" w:type="dxa"/>
            <w:vAlign w:val="center"/>
          </w:tcPr>
          <w:p>
            <w:pPr>
              <w:pStyle w:val="13"/>
            </w:pPr>
            <w:r>
              <w:t>100工作效率</w:t>
            </w:r>
          </w:p>
        </w:tc>
        <w:tc>
          <w:tcPr>
            <w:tcW w:w="1843" w:type="dxa"/>
            <w:vAlign w:val="center"/>
          </w:tcPr>
          <w:p>
            <w:pPr>
              <w:pStyle w:val="13"/>
            </w:pPr>
            <w:r>
              <w:t>冀财社【2023】214号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社会保障制度更加公平可持续</w:t>
            </w:r>
          </w:p>
        </w:tc>
        <w:tc>
          <w:tcPr>
            <w:tcW w:w="2891" w:type="dxa"/>
            <w:vAlign w:val="center"/>
          </w:tcPr>
          <w:p>
            <w:pPr>
              <w:pStyle w:val="13"/>
            </w:pPr>
            <w:r>
              <w:t>社会保障制度更加公平可持续</w:t>
            </w:r>
          </w:p>
        </w:tc>
        <w:tc>
          <w:tcPr>
            <w:tcW w:w="1276" w:type="dxa"/>
            <w:vAlign w:val="center"/>
          </w:tcPr>
          <w:p>
            <w:pPr>
              <w:pStyle w:val="13"/>
            </w:pPr>
            <w:r>
              <w:t>≥95城乡居民养老征缴可持续</w:t>
            </w:r>
          </w:p>
        </w:tc>
        <w:tc>
          <w:tcPr>
            <w:tcW w:w="1843" w:type="dxa"/>
            <w:vAlign w:val="center"/>
          </w:tcPr>
          <w:p>
            <w:pPr>
              <w:pStyle w:val="13"/>
            </w:pPr>
            <w:r>
              <w:t>冀财社【2023】214号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接受城乡居民养老保险参保人员人群对基层村级代办员提供服务的满意程度</w:t>
            </w:r>
          </w:p>
        </w:tc>
        <w:tc>
          <w:tcPr>
            <w:tcW w:w="1276" w:type="dxa"/>
            <w:vAlign w:val="center"/>
          </w:tcPr>
          <w:p>
            <w:pPr>
              <w:pStyle w:val="13"/>
            </w:pPr>
            <w:r>
              <w:t>≥95对接受服务的满意度</w:t>
            </w:r>
          </w:p>
        </w:tc>
        <w:tc>
          <w:tcPr>
            <w:tcW w:w="1843" w:type="dxa"/>
            <w:vAlign w:val="center"/>
          </w:tcPr>
          <w:p>
            <w:pPr>
              <w:pStyle w:val="13"/>
            </w:pPr>
            <w:r>
              <w:t>冀财社【2023】214号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3.专项业务费绩效目标表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326001玉田县社会保险服务中心本级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13022924P00JXC418050K</w:t>
            </w:r>
          </w:p>
        </w:tc>
        <w:tc>
          <w:tcPr>
            <w:tcW w:w="1587" w:type="dxa"/>
            <w:vAlign w:val="center"/>
          </w:tcPr>
          <w:p>
            <w:pPr>
              <w:pStyle w:val="14"/>
            </w:pPr>
            <w:r>
              <w:t>项目名称</w:t>
            </w:r>
          </w:p>
        </w:tc>
        <w:tc>
          <w:tcPr>
            <w:tcW w:w="4422" w:type="dxa"/>
            <w:gridSpan w:val="3"/>
            <w:vAlign w:val="center"/>
          </w:tcPr>
          <w:p>
            <w:pPr>
              <w:pStyle w:val="13"/>
            </w:pPr>
            <w:r>
              <w:t>专项业务费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150000.00</w:t>
            </w:r>
          </w:p>
        </w:tc>
        <w:tc>
          <w:tcPr>
            <w:tcW w:w="1587" w:type="dxa"/>
            <w:vAlign w:val="center"/>
          </w:tcPr>
          <w:p>
            <w:pPr>
              <w:pStyle w:val="14"/>
            </w:pPr>
            <w:r>
              <w:t>其中：财政    资金</w:t>
            </w:r>
          </w:p>
        </w:tc>
        <w:tc>
          <w:tcPr>
            <w:tcW w:w="1304" w:type="dxa"/>
            <w:vAlign w:val="center"/>
          </w:tcPr>
          <w:p>
            <w:pPr>
              <w:pStyle w:val="13"/>
            </w:pPr>
            <w:r>
              <w:t>150000.00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确保社保经办业务顺利开展，确保人社公共服务大厅更好地服务参保单位和参保人员。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25%</w:t>
            </w:r>
          </w:p>
        </w:tc>
        <w:tc>
          <w:tcPr>
            <w:tcW w:w="1304" w:type="dxa"/>
            <w:vAlign w:val="center"/>
          </w:tcPr>
          <w:p>
            <w:pPr>
              <w:pStyle w:val="15"/>
            </w:pPr>
            <w:r>
              <w:t>25%</w:t>
            </w:r>
          </w:p>
        </w:tc>
        <w:tc>
          <w:tcPr>
            <w:tcW w:w="3118" w:type="dxa"/>
            <w:gridSpan w:val="2"/>
            <w:vAlign w:val="center"/>
          </w:tcPr>
          <w:p>
            <w:pPr>
              <w:pStyle w:val="15"/>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1.确保社保经办业务顺利开展，确保人社公共服务大厅更好地服务参保单位和参保人员。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达到上级要求</w:t>
            </w:r>
          </w:p>
        </w:tc>
        <w:tc>
          <w:tcPr>
            <w:tcW w:w="2891" w:type="dxa"/>
            <w:vAlign w:val="center"/>
          </w:tcPr>
          <w:p>
            <w:pPr>
              <w:pStyle w:val="13"/>
            </w:pPr>
            <w:r>
              <w:t>达到上级部门要求完成的任务</w:t>
            </w:r>
          </w:p>
        </w:tc>
        <w:tc>
          <w:tcPr>
            <w:tcW w:w="1276" w:type="dxa"/>
            <w:vAlign w:val="center"/>
          </w:tcPr>
          <w:p>
            <w:pPr>
              <w:pStyle w:val="13"/>
            </w:pPr>
            <w:r>
              <w:t>≥90完成征缴扩面任务</w:t>
            </w:r>
          </w:p>
        </w:tc>
        <w:tc>
          <w:tcPr>
            <w:tcW w:w="1843" w:type="dxa"/>
            <w:vAlign w:val="center"/>
          </w:tcPr>
          <w:p>
            <w:pPr>
              <w:pStyle w:val="13"/>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经费保证能力</w:t>
            </w:r>
          </w:p>
        </w:tc>
        <w:tc>
          <w:tcPr>
            <w:tcW w:w="2891" w:type="dxa"/>
            <w:vAlign w:val="center"/>
          </w:tcPr>
          <w:p>
            <w:pPr>
              <w:pStyle w:val="13"/>
            </w:pPr>
            <w:r>
              <w:t>保证日常工作正常运转的能力</w:t>
            </w:r>
          </w:p>
        </w:tc>
        <w:tc>
          <w:tcPr>
            <w:tcW w:w="1276" w:type="dxa"/>
            <w:vAlign w:val="center"/>
          </w:tcPr>
          <w:p>
            <w:pPr>
              <w:pStyle w:val="13"/>
            </w:pPr>
            <w:r>
              <w:t>≥90保障办公</w:t>
            </w:r>
          </w:p>
        </w:tc>
        <w:tc>
          <w:tcPr>
            <w:tcW w:w="1843" w:type="dxa"/>
            <w:vAlign w:val="center"/>
          </w:tcPr>
          <w:p>
            <w:pPr>
              <w:pStyle w:val="13"/>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报告完成</w:t>
            </w:r>
          </w:p>
        </w:tc>
        <w:tc>
          <w:tcPr>
            <w:tcW w:w="2891" w:type="dxa"/>
            <w:vAlign w:val="center"/>
          </w:tcPr>
          <w:p>
            <w:pPr>
              <w:pStyle w:val="13"/>
            </w:pPr>
            <w:r>
              <w:t>提交年度报告时间节点</w:t>
            </w:r>
          </w:p>
        </w:tc>
        <w:tc>
          <w:tcPr>
            <w:tcW w:w="1276" w:type="dxa"/>
            <w:vAlign w:val="center"/>
          </w:tcPr>
          <w:p>
            <w:pPr>
              <w:pStyle w:val="13"/>
            </w:pPr>
            <w:r>
              <w:t>≥90开展业务</w:t>
            </w:r>
          </w:p>
        </w:tc>
        <w:tc>
          <w:tcPr>
            <w:tcW w:w="1843" w:type="dxa"/>
            <w:vAlign w:val="center"/>
          </w:tcPr>
          <w:p>
            <w:pPr>
              <w:pStyle w:val="13"/>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运行保障成本</w:t>
            </w:r>
          </w:p>
        </w:tc>
        <w:tc>
          <w:tcPr>
            <w:tcW w:w="2891" w:type="dxa"/>
            <w:vAlign w:val="center"/>
          </w:tcPr>
          <w:p>
            <w:pPr>
              <w:pStyle w:val="13"/>
            </w:pPr>
            <w:r>
              <w:t>运行保障成本</w:t>
            </w:r>
          </w:p>
        </w:tc>
        <w:tc>
          <w:tcPr>
            <w:tcW w:w="1276" w:type="dxa"/>
            <w:vAlign w:val="center"/>
          </w:tcPr>
          <w:p>
            <w:pPr>
              <w:pStyle w:val="13"/>
            </w:pPr>
            <w:r>
              <w:t>≥90节约利用</w:t>
            </w:r>
          </w:p>
        </w:tc>
        <w:tc>
          <w:tcPr>
            <w:tcW w:w="1843" w:type="dxa"/>
            <w:vAlign w:val="center"/>
          </w:tcPr>
          <w:p>
            <w:pPr>
              <w:pStyle w:val="13"/>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效益指标</w:t>
            </w:r>
          </w:p>
        </w:tc>
        <w:tc>
          <w:tcPr>
            <w:tcW w:w="2891" w:type="dxa"/>
            <w:vAlign w:val="center"/>
          </w:tcPr>
          <w:p>
            <w:pPr>
              <w:pStyle w:val="13"/>
            </w:pPr>
            <w:r>
              <w:t>合理人员开支</w:t>
            </w:r>
          </w:p>
        </w:tc>
        <w:tc>
          <w:tcPr>
            <w:tcW w:w="1276" w:type="dxa"/>
            <w:vAlign w:val="center"/>
          </w:tcPr>
          <w:p>
            <w:pPr>
              <w:pStyle w:val="13"/>
            </w:pPr>
            <w:r>
              <w:t>≥90保障运转</w:t>
            </w:r>
          </w:p>
        </w:tc>
        <w:tc>
          <w:tcPr>
            <w:tcW w:w="1843" w:type="dxa"/>
            <w:vAlign w:val="center"/>
          </w:tcPr>
          <w:p>
            <w:pPr>
              <w:pStyle w:val="13"/>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社会稳定水平</w:t>
            </w:r>
          </w:p>
        </w:tc>
        <w:tc>
          <w:tcPr>
            <w:tcW w:w="2891" w:type="dxa"/>
            <w:vAlign w:val="center"/>
          </w:tcPr>
          <w:p>
            <w:pPr>
              <w:pStyle w:val="13"/>
            </w:pPr>
            <w:r>
              <w:t>促进社会稳定水平逐步提高</w:t>
            </w:r>
          </w:p>
        </w:tc>
        <w:tc>
          <w:tcPr>
            <w:tcW w:w="1276" w:type="dxa"/>
            <w:vAlign w:val="center"/>
          </w:tcPr>
          <w:p>
            <w:pPr>
              <w:pStyle w:val="13"/>
            </w:pPr>
            <w:r>
              <w:t>≥90社保经办稳定发挥作用</w:t>
            </w:r>
          </w:p>
        </w:tc>
        <w:tc>
          <w:tcPr>
            <w:tcW w:w="1843" w:type="dxa"/>
            <w:vAlign w:val="center"/>
          </w:tcPr>
          <w:p>
            <w:pPr>
              <w:pStyle w:val="13"/>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节约专用材料成本</w:t>
            </w:r>
          </w:p>
        </w:tc>
        <w:tc>
          <w:tcPr>
            <w:tcW w:w="1276" w:type="dxa"/>
            <w:vAlign w:val="center"/>
          </w:tcPr>
          <w:p>
            <w:pPr>
              <w:pStyle w:val="13"/>
            </w:pPr>
            <w:r>
              <w:t>≥90节约资源</w:t>
            </w:r>
          </w:p>
        </w:tc>
        <w:tc>
          <w:tcPr>
            <w:tcW w:w="1843" w:type="dxa"/>
            <w:vAlign w:val="center"/>
          </w:tcPr>
          <w:p>
            <w:pPr>
              <w:pStyle w:val="13"/>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社会保障制度更加公平可持续</w:t>
            </w:r>
          </w:p>
        </w:tc>
        <w:tc>
          <w:tcPr>
            <w:tcW w:w="2891" w:type="dxa"/>
            <w:vAlign w:val="center"/>
          </w:tcPr>
          <w:p>
            <w:pPr>
              <w:pStyle w:val="13"/>
            </w:pPr>
            <w:r>
              <w:t>社会保障制度更加公平可持续</w:t>
            </w:r>
          </w:p>
        </w:tc>
        <w:tc>
          <w:tcPr>
            <w:tcW w:w="1276" w:type="dxa"/>
            <w:vAlign w:val="center"/>
          </w:tcPr>
          <w:p>
            <w:pPr>
              <w:pStyle w:val="13"/>
            </w:pPr>
            <w:r>
              <w:t>≥90更好开展人社业务</w:t>
            </w:r>
          </w:p>
        </w:tc>
        <w:tc>
          <w:tcPr>
            <w:tcW w:w="1843" w:type="dxa"/>
            <w:vAlign w:val="center"/>
          </w:tcPr>
          <w:p>
            <w:pPr>
              <w:pStyle w:val="13"/>
            </w:pPr>
            <w:r>
              <w:t>保障社保经办机构正常运转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≥90参保人员意度度</w:t>
            </w:r>
          </w:p>
        </w:tc>
        <w:tc>
          <w:tcPr>
            <w:tcW w:w="1843" w:type="dxa"/>
            <w:vAlign w:val="center"/>
          </w:tcPr>
          <w:p>
            <w:pPr>
              <w:pStyle w:val="13"/>
            </w:pPr>
            <w:r>
              <w:t>保障社保经办机构正常运转</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EB7C68"/>
    <w:rsid w:val="5B6F16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Office_11.8.2.12065_F1E327BC-269C-435d-A152-05C5408002CA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2024-02-02T10:06:00Z</dcterms:created>
  <dc:creator>baixin</dc:creator>
  <cp:lastModifiedBy>baixin</cp:lastModifiedBy>
  <dcterms:modified xsi:type="dcterms:W3CDTF">2025-05-12T14:38:48Z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C8065F874D3138790D94216864620AED</vt:lpwstr>
  </property>
</Properties>
</file>