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一、玉田县社会保险服务中心本级收支预算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一、玉田县社会保险服务中心本级收支预算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6953496.37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6960976.03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6953496.37</w:t>
            </w:r>
          </w:p>
        </w:tc>
        <w:tc>
          <w:tcPr>
            <w:tcW w:w="4535" w:type="dxa"/>
            <w:vAlign w:val="center"/>
          </w:tcPr>
          <w:p>
            <w:pPr>
              <w:pStyle w:val="14"/>
            </w:pPr>
            <w:r>
              <w:t>本年支出合计</w:t>
            </w:r>
          </w:p>
        </w:tc>
        <w:tc>
          <w:tcPr>
            <w:tcW w:w="2126" w:type="dxa"/>
            <w:vAlign w:val="center"/>
          </w:tcPr>
          <w:p>
            <w:pPr>
              <w:pStyle w:val="15"/>
            </w:pPr>
            <w:r>
              <w:t>6960976.03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7479.66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6960976.03</w:t>
            </w:r>
          </w:p>
        </w:tc>
        <w:tc>
          <w:tcPr>
            <w:tcW w:w="4535" w:type="dxa"/>
            <w:vAlign w:val="center"/>
          </w:tcPr>
          <w:p>
            <w:pPr>
              <w:pStyle w:val="14"/>
            </w:pPr>
            <w:r>
              <w:t>支出总计</w:t>
            </w:r>
          </w:p>
        </w:tc>
        <w:tc>
          <w:tcPr>
            <w:tcW w:w="2126" w:type="dxa"/>
            <w:vAlign w:val="center"/>
          </w:tcPr>
          <w:p>
            <w:pPr>
              <w:pStyle w:val="15"/>
            </w:pPr>
            <w:r>
              <w:t>6960976.03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6960976.03</w:t>
            </w:r>
          </w:p>
        </w:tc>
        <w:tc>
          <w:tcPr>
            <w:tcW w:w="1134" w:type="dxa"/>
            <w:vAlign w:val="center"/>
          </w:tcPr>
          <w:p>
            <w:pPr>
              <w:pStyle w:val="15"/>
            </w:pPr>
            <w:r>
              <w:t>6953496.37</w:t>
            </w:r>
          </w:p>
        </w:tc>
        <w:tc>
          <w:tcPr>
            <w:tcW w:w="1134" w:type="dxa"/>
            <w:vAlign w:val="center"/>
          </w:tcPr>
          <w:p>
            <w:pPr>
              <w:pStyle w:val="15"/>
            </w:pPr>
            <w:r>
              <w:t>6953496.37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6960976.03</w:t>
            </w:r>
          </w:p>
        </w:tc>
        <w:tc>
          <w:tcPr>
            <w:tcW w:w="1134" w:type="dxa"/>
            <w:vAlign w:val="center"/>
          </w:tcPr>
          <w:p>
            <w:pPr>
              <w:pStyle w:val="11"/>
            </w:pPr>
            <w:r>
              <w:t>6953496.37</w:t>
            </w:r>
          </w:p>
        </w:tc>
        <w:tc>
          <w:tcPr>
            <w:tcW w:w="1134" w:type="dxa"/>
            <w:vAlign w:val="center"/>
          </w:tcPr>
          <w:p>
            <w:pPr>
              <w:pStyle w:val="11"/>
            </w:pPr>
            <w:r>
              <w:t>6953496.37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6960976.03</w:t>
            </w:r>
          </w:p>
        </w:tc>
        <w:tc>
          <w:tcPr>
            <w:tcW w:w="1134" w:type="dxa"/>
            <w:vAlign w:val="center"/>
          </w:tcPr>
          <w:p>
            <w:pPr>
              <w:pStyle w:val="11"/>
            </w:pPr>
            <w:r>
              <w:t>6953496.37</w:t>
            </w:r>
          </w:p>
        </w:tc>
        <w:tc>
          <w:tcPr>
            <w:tcW w:w="1134" w:type="dxa"/>
            <w:vAlign w:val="center"/>
          </w:tcPr>
          <w:p>
            <w:pPr>
              <w:pStyle w:val="11"/>
            </w:pPr>
            <w:r>
              <w:t>6953496.37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6833496.37</w:t>
            </w:r>
          </w:p>
        </w:tc>
        <w:tc>
          <w:tcPr>
            <w:tcW w:w="1134" w:type="dxa"/>
            <w:vAlign w:val="center"/>
          </w:tcPr>
          <w:p>
            <w:pPr>
              <w:pStyle w:val="11"/>
            </w:pPr>
            <w:r>
              <w:t>6833496.37</w:t>
            </w:r>
          </w:p>
        </w:tc>
        <w:tc>
          <w:tcPr>
            <w:tcW w:w="1134" w:type="dxa"/>
            <w:vAlign w:val="center"/>
          </w:tcPr>
          <w:p>
            <w:pPr>
              <w:pStyle w:val="11"/>
            </w:pPr>
            <w:r>
              <w:t>6833496.37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127479.66</w:t>
            </w:r>
          </w:p>
        </w:tc>
        <w:tc>
          <w:tcPr>
            <w:tcW w:w="1134" w:type="dxa"/>
            <w:vAlign w:val="center"/>
          </w:tcPr>
          <w:p>
            <w:pPr>
              <w:pStyle w:val="11"/>
            </w:pPr>
            <w:r>
              <w:t>120000.00</w:t>
            </w:r>
          </w:p>
        </w:tc>
        <w:tc>
          <w:tcPr>
            <w:tcW w:w="1134" w:type="dxa"/>
            <w:vAlign w:val="center"/>
          </w:tcPr>
          <w:p>
            <w:pPr>
              <w:pStyle w:val="11"/>
            </w:pPr>
            <w:r>
              <w:t>120000.00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7479.66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6960976.03</w:t>
            </w:r>
          </w:p>
        </w:tc>
        <w:tc>
          <w:tcPr>
            <w:tcW w:w="1361" w:type="dxa"/>
            <w:vAlign w:val="center"/>
          </w:tcPr>
          <w:p>
            <w:pPr>
              <w:pStyle w:val="15"/>
            </w:pPr>
            <w:r>
              <w:t>6683496.37</w:t>
            </w:r>
          </w:p>
        </w:tc>
        <w:tc>
          <w:tcPr>
            <w:tcW w:w="1361" w:type="dxa"/>
            <w:vAlign w:val="center"/>
          </w:tcPr>
          <w:p>
            <w:pPr>
              <w:pStyle w:val="15"/>
            </w:pPr>
            <w:r>
              <w:t>277479.66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6960976.03</w:t>
            </w:r>
          </w:p>
        </w:tc>
        <w:tc>
          <w:tcPr>
            <w:tcW w:w="1361" w:type="dxa"/>
            <w:vAlign w:val="center"/>
          </w:tcPr>
          <w:p>
            <w:pPr>
              <w:pStyle w:val="11"/>
            </w:pPr>
            <w:r>
              <w:t>6683496.37</w:t>
            </w:r>
          </w:p>
        </w:tc>
        <w:tc>
          <w:tcPr>
            <w:tcW w:w="1361" w:type="dxa"/>
            <w:vAlign w:val="center"/>
          </w:tcPr>
          <w:p>
            <w:pPr>
              <w:pStyle w:val="11"/>
            </w:pPr>
            <w:r>
              <w:t>277479.66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6960976.03</w:t>
            </w:r>
          </w:p>
        </w:tc>
        <w:tc>
          <w:tcPr>
            <w:tcW w:w="1361" w:type="dxa"/>
            <w:vAlign w:val="center"/>
          </w:tcPr>
          <w:p>
            <w:pPr>
              <w:pStyle w:val="11"/>
            </w:pPr>
            <w:r>
              <w:t>6683496.37</w:t>
            </w:r>
          </w:p>
        </w:tc>
        <w:tc>
          <w:tcPr>
            <w:tcW w:w="1361" w:type="dxa"/>
            <w:vAlign w:val="center"/>
          </w:tcPr>
          <w:p>
            <w:pPr>
              <w:pStyle w:val="11"/>
            </w:pPr>
            <w:r>
              <w:t>277479.66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6833496.37</w:t>
            </w:r>
          </w:p>
        </w:tc>
        <w:tc>
          <w:tcPr>
            <w:tcW w:w="1361" w:type="dxa"/>
            <w:vAlign w:val="center"/>
          </w:tcPr>
          <w:p>
            <w:pPr>
              <w:pStyle w:val="11"/>
            </w:pPr>
            <w:r>
              <w:t>6683496.37</w:t>
            </w: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127479.66</w:t>
            </w:r>
          </w:p>
        </w:tc>
        <w:tc>
          <w:tcPr>
            <w:tcW w:w="1361" w:type="dxa"/>
            <w:vAlign w:val="center"/>
          </w:tcPr>
          <w:p>
            <w:pPr>
              <w:pStyle w:val="11"/>
            </w:pPr>
          </w:p>
        </w:tc>
        <w:tc>
          <w:tcPr>
            <w:tcW w:w="1361" w:type="dxa"/>
            <w:vAlign w:val="center"/>
          </w:tcPr>
          <w:p>
            <w:pPr>
              <w:pStyle w:val="11"/>
            </w:pPr>
            <w:r>
              <w:t>127479.66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6953496.37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6960976.03</w:t>
            </w:r>
          </w:p>
        </w:tc>
        <w:tc>
          <w:tcPr>
            <w:tcW w:w="1474" w:type="dxa"/>
            <w:vAlign w:val="center"/>
          </w:tcPr>
          <w:p>
            <w:pPr>
              <w:pStyle w:val="11"/>
            </w:pPr>
            <w:r>
              <w:t>6960976.03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6953496.37</w:t>
            </w:r>
          </w:p>
        </w:tc>
        <w:tc>
          <w:tcPr>
            <w:tcW w:w="3402" w:type="dxa"/>
            <w:vAlign w:val="center"/>
          </w:tcPr>
          <w:p>
            <w:pPr>
              <w:pStyle w:val="14"/>
            </w:pPr>
            <w:r>
              <w:t>本年支出合计</w:t>
            </w:r>
          </w:p>
        </w:tc>
        <w:tc>
          <w:tcPr>
            <w:tcW w:w="1474" w:type="dxa"/>
            <w:vAlign w:val="center"/>
          </w:tcPr>
          <w:p>
            <w:pPr>
              <w:pStyle w:val="15"/>
            </w:pPr>
            <w:r>
              <w:t>6960976.03</w:t>
            </w:r>
          </w:p>
        </w:tc>
        <w:tc>
          <w:tcPr>
            <w:tcW w:w="1474" w:type="dxa"/>
            <w:vAlign w:val="center"/>
          </w:tcPr>
          <w:p>
            <w:pPr>
              <w:pStyle w:val="15"/>
            </w:pPr>
            <w:r>
              <w:t>6960976.03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7479.66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7479.66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6960976.03</w:t>
            </w:r>
          </w:p>
        </w:tc>
        <w:tc>
          <w:tcPr>
            <w:tcW w:w="3402" w:type="dxa"/>
            <w:vAlign w:val="center"/>
          </w:tcPr>
          <w:p>
            <w:pPr>
              <w:pStyle w:val="14"/>
            </w:pPr>
            <w:r>
              <w:t>支出总计</w:t>
            </w:r>
          </w:p>
        </w:tc>
        <w:tc>
          <w:tcPr>
            <w:tcW w:w="1474" w:type="dxa"/>
            <w:vAlign w:val="center"/>
          </w:tcPr>
          <w:p>
            <w:pPr>
              <w:pStyle w:val="15"/>
            </w:pPr>
            <w:r>
              <w:t>6960976.03</w:t>
            </w:r>
          </w:p>
        </w:tc>
        <w:tc>
          <w:tcPr>
            <w:tcW w:w="1474" w:type="dxa"/>
            <w:vAlign w:val="center"/>
          </w:tcPr>
          <w:p>
            <w:pPr>
              <w:pStyle w:val="15"/>
            </w:pPr>
            <w:r>
              <w:t>6960976.03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6960976.03</w:t>
            </w:r>
          </w:p>
        </w:tc>
        <w:tc>
          <w:tcPr>
            <w:tcW w:w="2551" w:type="dxa"/>
            <w:vAlign w:val="center"/>
          </w:tcPr>
          <w:p>
            <w:pPr>
              <w:pStyle w:val="15"/>
            </w:pPr>
            <w:r>
              <w:t>6683496.37</w:t>
            </w:r>
          </w:p>
        </w:tc>
        <w:tc>
          <w:tcPr>
            <w:tcW w:w="2551" w:type="dxa"/>
            <w:vAlign w:val="center"/>
          </w:tcPr>
          <w:p>
            <w:pPr>
              <w:pStyle w:val="15"/>
            </w:pPr>
            <w:r>
              <w:t>277479.66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6960976.03</w:t>
            </w:r>
          </w:p>
        </w:tc>
        <w:tc>
          <w:tcPr>
            <w:tcW w:w="2551" w:type="dxa"/>
            <w:vAlign w:val="center"/>
          </w:tcPr>
          <w:p>
            <w:pPr>
              <w:pStyle w:val="11"/>
            </w:pPr>
            <w:r>
              <w:t>6683496.37</w:t>
            </w:r>
          </w:p>
        </w:tc>
        <w:tc>
          <w:tcPr>
            <w:tcW w:w="2551" w:type="dxa"/>
            <w:vAlign w:val="center"/>
          </w:tcPr>
          <w:p>
            <w:pPr>
              <w:pStyle w:val="11"/>
            </w:pPr>
            <w:r>
              <w:t>277479.66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6960976.03</w:t>
            </w:r>
          </w:p>
        </w:tc>
        <w:tc>
          <w:tcPr>
            <w:tcW w:w="2551" w:type="dxa"/>
            <w:vAlign w:val="center"/>
          </w:tcPr>
          <w:p>
            <w:pPr>
              <w:pStyle w:val="11"/>
            </w:pPr>
            <w:r>
              <w:t>6683496.37</w:t>
            </w:r>
          </w:p>
        </w:tc>
        <w:tc>
          <w:tcPr>
            <w:tcW w:w="2551" w:type="dxa"/>
            <w:vAlign w:val="center"/>
          </w:tcPr>
          <w:p>
            <w:pPr>
              <w:pStyle w:val="11"/>
            </w:pPr>
            <w:r>
              <w:t>277479.66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6833496.37</w:t>
            </w:r>
          </w:p>
        </w:tc>
        <w:tc>
          <w:tcPr>
            <w:tcW w:w="2551" w:type="dxa"/>
            <w:vAlign w:val="center"/>
          </w:tcPr>
          <w:p>
            <w:pPr>
              <w:pStyle w:val="11"/>
            </w:pPr>
            <w:r>
              <w:t>6683496.37</w:t>
            </w: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127479.66</w:t>
            </w:r>
          </w:p>
        </w:tc>
        <w:tc>
          <w:tcPr>
            <w:tcW w:w="2551" w:type="dxa"/>
            <w:vAlign w:val="center"/>
          </w:tcPr>
          <w:p>
            <w:pPr>
              <w:pStyle w:val="11"/>
            </w:pPr>
          </w:p>
        </w:tc>
        <w:tc>
          <w:tcPr>
            <w:tcW w:w="2551" w:type="dxa"/>
            <w:vAlign w:val="center"/>
          </w:tcPr>
          <w:p>
            <w:pPr>
              <w:pStyle w:val="11"/>
            </w:pPr>
            <w:r>
              <w:t>127479.66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6683496.37</w:t>
            </w:r>
          </w:p>
        </w:tc>
        <w:tc>
          <w:tcPr>
            <w:tcW w:w="2551" w:type="dxa"/>
            <w:vAlign w:val="center"/>
          </w:tcPr>
          <w:p>
            <w:pPr>
              <w:pStyle w:val="15"/>
            </w:pPr>
            <w:r>
              <w:t>6489946.37</w:t>
            </w:r>
          </w:p>
        </w:tc>
        <w:tc>
          <w:tcPr>
            <w:tcW w:w="2551" w:type="dxa"/>
            <w:vAlign w:val="center"/>
          </w:tcPr>
          <w:p>
            <w:pPr>
              <w:pStyle w:val="15"/>
            </w:pPr>
            <w:r>
              <w:t>193550.00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6304839.17</w:t>
            </w:r>
          </w:p>
        </w:tc>
        <w:tc>
          <w:tcPr>
            <w:tcW w:w="2551" w:type="dxa"/>
            <w:vAlign w:val="center"/>
          </w:tcPr>
          <w:p>
            <w:pPr>
              <w:pStyle w:val="11"/>
            </w:pPr>
            <w:r>
              <w:t>6304839.17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2267224.42</w:t>
            </w:r>
          </w:p>
        </w:tc>
        <w:tc>
          <w:tcPr>
            <w:tcW w:w="2551" w:type="dxa"/>
            <w:vAlign w:val="center"/>
          </w:tcPr>
          <w:p>
            <w:pPr>
              <w:pStyle w:val="11"/>
            </w:pPr>
            <w:r>
              <w:t>2267224.42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216720.00</w:t>
            </w:r>
          </w:p>
        </w:tc>
        <w:tc>
          <w:tcPr>
            <w:tcW w:w="2551" w:type="dxa"/>
            <w:vAlign w:val="center"/>
          </w:tcPr>
          <w:p>
            <w:pPr>
              <w:pStyle w:val="11"/>
            </w:pPr>
            <w:r>
              <w:t>216720.00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1958833.57</w:t>
            </w:r>
          </w:p>
        </w:tc>
        <w:tc>
          <w:tcPr>
            <w:tcW w:w="2551" w:type="dxa"/>
            <w:vAlign w:val="center"/>
          </w:tcPr>
          <w:p>
            <w:pPr>
              <w:pStyle w:val="11"/>
            </w:pPr>
            <w:r>
              <w:t>1958833.57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646058.65</w:t>
            </w:r>
          </w:p>
        </w:tc>
        <w:tc>
          <w:tcPr>
            <w:tcW w:w="2551" w:type="dxa"/>
            <w:vAlign w:val="center"/>
          </w:tcPr>
          <w:p>
            <w:pPr>
              <w:pStyle w:val="11"/>
            </w:pPr>
            <w:r>
              <w:t>646058.65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343479.83</w:t>
            </w:r>
          </w:p>
        </w:tc>
        <w:tc>
          <w:tcPr>
            <w:tcW w:w="2551" w:type="dxa"/>
            <w:vAlign w:val="center"/>
          </w:tcPr>
          <w:p>
            <w:pPr>
              <w:pStyle w:val="11"/>
            </w:pPr>
            <w:r>
              <w:t>343479.83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296539.09</w:t>
            </w:r>
          </w:p>
        </w:tc>
        <w:tc>
          <w:tcPr>
            <w:tcW w:w="2551" w:type="dxa"/>
            <w:vAlign w:val="center"/>
          </w:tcPr>
          <w:p>
            <w:pPr>
              <w:pStyle w:val="11"/>
            </w:pPr>
            <w:r>
              <w:t>296539.09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74134.78</w:t>
            </w:r>
          </w:p>
        </w:tc>
        <w:tc>
          <w:tcPr>
            <w:tcW w:w="2551" w:type="dxa"/>
            <w:vAlign w:val="center"/>
          </w:tcPr>
          <w:p>
            <w:pPr>
              <w:pStyle w:val="11"/>
            </w:pPr>
            <w:r>
              <w:t>74134.78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501848.83</w:t>
            </w:r>
          </w:p>
        </w:tc>
        <w:tc>
          <w:tcPr>
            <w:tcW w:w="2551" w:type="dxa"/>
            <w:vAlign w:val="center"/>
          </w:tcPr>
          <w:p>
            <w:pPr>
              <w:pStyle w:val="11"/>
            </w:pPr>
            <w:r>
              <w:t>501848.83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193550.00</w:t>
            </w:r>
          </w:p>
        </w:tc>
        <w:tc>
          <w:tcPr>
            <w:tcW w:w="2551" w:type="dxa"/>
            <w:vAlign w:val="center"/>
          </w:tcPr>
          <w:p>
            <w:pPr>
              <w:pStyle w:val="11"/>
            </w:pPr>
          </w:p>
        </w:tc>
        <w:tc>
          <w:tcPr>
            <w:tcW w:w="2551" w:type="dxa"/>
            <w:vAlign w:val="center"/>
          </w:tcPr>
          <w:p>
            <w:pPr>
              <w:pStyle w:val="11"/>
            </w:pPr>
            <w:r>
              <w:t>193550.00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24500.00</w:t>
            </w:r>
          </w:p>
        </w:tc>
        <w:tc>
          <w:tcPr>
            <w:tcW w:w="2551" w:type="dxa"/>
            <w:vAlign w:val="center"/>
          </w:tcPr>
          <w:p>
            <w:pPr>
              <w:pStyle w:val="11"/>
            </w:pPr>
          </w:p>
        </w:tc>
        <w:tc>
          <w:tcPr>
            <w:tcW w:w="2551" w:type="dxa"/>
            <w:vAlign w:val="center"/>
          </w:tcPr>
          <w:p>
            <w:pPr>
              <w:pStyle w:val="11"/>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24500.00</w:t>
            </w:r>
          </w:p>
        </w:tc>
        <w:tc>
          <w:tcPr>
            <w:tcW w:w="2551" w:type="dxa"/>
            <w:vAlign w:val="center"/>
          </w:tcPr>
          <w:p>
            <w:pPr>
              <w:pStyle w:val="11"/>
            </w:pPr>
          </w:p>
        </w:tc>
        <w:tc>
          <w:tcPr>
            <w:tcW w:w="2551" w:type="dxa"/>
            <w:vAlign w:val="center"/>
          </w:tcPr>
          <w:p>
            <w:pPr>
              <w:pStyle w:val="11"/>
            </w:pPr>
            <w:r>
              <w:t>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2450.00</w:t>
            </w:r>
          </w:p>
        </w:tc>
        <w:tc>
          <w:tcPr>
            <w:tcW w:w="2551" w:type="dxa"/>
            <w:vAlign w:val="center"/>
          </w:tcPr>
          <w:p>
            <w:pPr>
              <w:pStyle w:val="11"/>
            </w:pPr>
          </w:p>
        </w:tc>
        <w:tc>
          <w:tcPr>
            <w:tcW w:w="2551" w:type="dxa"/>
            <w:vAlign w:val="center"/>
          </w:tcPr>
          <w:p>
            <w:pPr>
              <w:pStyle w:val="11"/>
            </w:pPr>
            <w:r>
              <w:t>2450.00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39200.00</w:t>
            </w:r>
          </w:p>
        </w:tc>
        <w:tc>
          <w:tcPr>
            <w:tcW w:w="2551" w:type="dxa"/>
            <w:vAlign w:val="center"/>
          </w:tcPr>
          <w:p>
            <w:pPr>
              <w:pStyle w:val="11"/>
            </w:pPr>
          </w:p>
        </w:tc>
        <w:tc>
          <w:tcPr>
            <w:tcW w:w="2551" w:type="dxa"/>
            <w:vAlign w:val="center"/>
          </w:tcPr>
          <w:p>
            <w:pPr>
              <w:pStyle w:val="11"/>
            </w:pPr>
            <w:r>
              <w:t>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49000.00</w:t>
            </w:r>
          </w:p>
        </w:tc>
        <w:tc>
          <w:tcPr>
            <w:tcW w:w="2551" w:type="dxa"/>
            <w:vAlign w:val="center"/>
          </w:tcPr>
          <w:p>
            <w:pPr>
              <w:pStyle w:val="11"/>
            </w:pPr>
          </w:p>
        </w:tc>
        <w:tc>
          <w:tcPr>
            <w:tcW w:w="2551" w:type="dxa"/>
            <w:vAlign w:val="center"/>
          </w:tcPr>
          <w:p>
            <w:pPr>
              <w:pStyle w:val="11"/>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18900.00</w:t>
            </w:r>
          </w:p>
        </w:tc>
        <w:tc>
          <w:tcPr>
            <w:tcW w:w="2551" w:type="dxa"/>
            <w:vAlign w:val="center"/>
          </w:tcPr>
          <w:p>
            <w:pPr>
              <w:pStyle w:val="11"/>
            </w:pPr>
          </w:p>
        </w:tc>
        <w:tc>
          <w:tcPr>
            <w:tcW w:w="2551" w:type="dxa"/>
            <w:vAlign w:val="center"/>
          </w:tcPr>
          <w:p>
            <w:pPr>
              <w:pStyle w:val="11"/>
            </w:pPr>
            <w:r>
              <w:t>18900.00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185107.20</w:t>
            </w:r>
          </w:p>
        </w:tc>
        <w:tc>
          <w:tcPr>
            <w:tcW w:w="2551" w:type="dxa"/>
            <w:vAlign w:val="center"/>
          </w:tcPr>
          <w:p>
            <w:pPr>
              <w:pStyle w:val="11"/>
            </w:pPr>
            <w:r>
              <w:t>185107.20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183427.20</w:t>
            </w:r>
          </w:p>
        </w:tc>
        <w:tc>
          <w:tcPr>
            <w:tcW w:w="2551" w:type="dxa"/>
            <w:vAlign w:val="center"/>
          </w:tcPr>
          <w:p>
            <w:pPr>
              <w:pStyle w:val="11"/>
            </w:pPr>
            <w:r>
              <w:t>183427.20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1680.00</w:t>
            </w:r>
          </w:p>
        </w:tc>
        <w:tc>
          <w:tcPr>
            <w:tcW w:w="2551" w:type="dxa"/>
            <w:vAlign w:val="center"/>
          </w:tcPr>
          <w:p>
            <w:pPr>
              <w:pStyle w:val="11"/>
            </w:pPr>
            <w:r>
              <w:t>1680.00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玉田县社会保险服务中心本级2024年单位预算信息公开情况说明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按照《中华人民共和国预算法》、《地方预决算公开操作规程》和《关于进一步推进预算公开工作的实施意见》规定，现将玉田县社会保险服务中心本级2024年单位预算公开如下：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 门 职 责</w:t>
      </w:r>
    </w:p>
    <w:p>
      <w:pPr>
        <w:pStyle w:val="17"/>
      </w:pPr>
    </w:p>
    <w:p>
      <w:pPr>
        <w:pStyle w:val="17"/>
      </w:pPr>
      <w:r>
        <w:t>根据《玉田县社会保险服务中心职能配置、内设机构和人员编制规定》，玉田县社会保险服务中心的主要职责是：</w:t>
      </w:r>
    </w:p>
    <w:p>
      <w:pPr>
        <w:pStyle w:val="17"/>
      </w:pPr>
      <w:r>
        <w:t>部 门 职 责</w:t>
      </w:r>
    </w:p>
    <w:p>
      <w:pPr>
        <w:pStyle w:val="17"/>
      </w:pPr>
    </w:p>
    <w:p>
      <w:pPr>
        <w:pStyle w:val="17"/>
      </w:pPr>
      <w:r>
        <w:t>加大宣传力度，扩大各基金险种基本养老保险覆盖面,贯彻《中华人民共和国</w:t>
      </w:r>
      <w:bookmarkStart w:id="1" w:name="_GoBack"/>
      <w:bookmarkEnd w:id="1"/>
      <w:r>
        <w:t>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17"/>
      </w:pPr>
      <w:r>
        <w:t>继续开展以工伤保险待遇支付为重点的稽核工作，将养老保险缴费人数与工伤保险缴费人数挂钩，纳入稽核工作内容，进一步加大养老保险、工伤保险扩面力度，力争工伤保险全覆盖。</w:t>
      </w:r>
    </w:p>
    <w:p>
      <w:pPr>
        <w:pStyle w:val="17"/>
      </w:pPr>
      <w:r>
        <w:t>为确保养老金及时足额发放，积极向省、市、县部门申请养老保险调剂金级财政补助收入。</w:t>
      </w:r>
    </w:p>
    <w:p>
      <w:pPr>
        <w:pStyle w:val="17"/>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17"/>
      </w:pPr>
      <w:r>
        <w:t>养老、失业、工伤、城乡居民保险费依法依规、按时足额征缴，保险待遇按时足额支付，完成省市县各级主管部门下达的任务目标。</w:t>
      </w:r>
    </w:p>
    <w:p>
      <w:pPr>
        <w:pStyle w:val="17"/>
      </w:pPr>
      <w:r>
        <w:t>根据《玉田县社会保险服务中心职能配置、内设机构和人员编制规定》， 玉田县社会保险事业局的主要职责是：</w:t>
      </w:r>
    </w:p>
    <w:p>
      <w:pPr>
        <w:pStyle w:val="17"/>
      </w:pPr>
      <w:r>
        <w:t>为县人力资源和社会保障局所属公益一类事业单位，机构规格相当于副科级。核定事业编制55 名、设主任 1 名（副科级)、副主任 4 名（正股级)、内设机构股级职数 10 名(正股级)。经费形式为财政性资金基本保证。内设办公室、基金财务科、前台受理科、权益服务科、业务审核一科、业务审核二科、稽核科、信息技术科。</w:t>
      </w:r>
    </w:p>
    <w:p>
      <w:pPr>
        <w:pStyle w:val="17"/>
      </w:pPr>
      <w:r>
        <w:t>主要职责是：依据国家、省、市社会保险的各项法律法规及政策，实施社会保险业务的经办、管理。负责参保单位、个人社会保险登记、变更、注销和年审；搞好社会保险费的申报核定。负责养老、工伤、失业保险等各险种支付项目手续的审核、支付。做好离退休人员社会化管理服务工作，及时足额社会化发放养老金。做好社会保险普查和内部控制管理工作。建立和完善养老、工伤、失业等社会保险各险种数据信息平台，为参保对象提供便捷高效的信息查询服务系统。协助人方资源和社会保障行政部门编制社会保险基金的预、决算草案。承办县政府和县人力资源和社会保障局交办的其他任务。</w:t>
      </w:r>
    </w:p>
    <w:p>
      <w:pPr>
        <w:pStyle w:val="17"/>
      </w:pPr>
      <w:r>
        <w:t>玉田县社会保险服务中心中文城名为：玉田县社会保险服务中心.公益。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玉田县社会保险服务中心本级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反映本单位当年全部收入。2024年预算收入696</w:t>
      </w:r>
      <w:r>
        <w:rPr>
          <w:rFonts w:hint="eastAsia"/>
          <w:lang w:val="en-US" w:eastAsia="zh-CN"/>
        </w:rPr>
        <w:t>.10</w:t>
      </w:r>
      <w:r>
        <w:t>万元，其中：一般公共预算收入695</w:t>
      </w:r>
      <w:r>
        <w:rPr>
          <w:rFonts w:hint="eastAsia"/>
          <w:lang w:val="en-US" w:eastAsia="zh-CN"/>
        </w:rPr>
        <w:t>.35</w:t>
      </w:r>
      <w:r>
        <w:t>万元，基金预算收入0.00万元，国有资本经营预算收入0.00万元，财政专户核拨收入0.00万元，单位资金收入0.00万元，上年结转结余</w:t>
      </w:r>
      <w:r>
        <w:rPr>
          <w:rFonts w:hint="eastAsia"/>
          <w:lang w:val="en-US" w:eastAsia="zh-CN"/>
        </w:rPr>
        <w:t>0.75</w:t>
      </w:r>
      <w:r>
        <w:t>万元。</w:t>
      </w:r>
    </w:p>
    <w:p>
      <w:pPr>
        <w:pStyle w:val="18"/>
      </w:pPr>
      <w:r>
        <w:t>2、支出说明</w:t>
      </w:r>
    </w:p>
    <w:p>
      <w:pPr>
        <w:pStyle w:val="18"/>
      </w:pPr>
      <w:r>
        <w:t>收支预算总表支出栏、基本支出表、项目支出表按经济分类和支出功能分类科目编制，反映玉田县社会保险服务中心本级年度单位预算中支出预算的总体情况。2024年支出预算696</w:t>
      </w:r>
      <w:r>
        <w:rPr>
          <w:rFonts w:hint="eastAsia"/>
          <w:lang w:val="en-US" w:eastAsia="zh-CN"/>
        </w:rPr>
        <w:t>.10</w:t>
      </w:r>
      <w:r>
        <w:t>万元，其中基本支出668</w:t>
      </w:r>
      <w:r>
        <w:rPr>
          <w:rFonts w:hint="eastAsia"/>
          <w:lang w:val="en-US" w:eastAsia="zh-CN"/>
        </w:rPr>
        <w:t>.</w:t>
      </w:r>
      <w:r>
        <w:t>3</w:t>
      </w:r>
      <w:r>
        <w:rPr>
          <w:rFonts w:hint="eastAsia"/>
          <w:lang w:val="en-US" w:eastAsia="zh-CN"/>
        </w:rPr>
        <w:t>5</w:t>
      </w:r>
      <w:r>
        <w:t>万元，包括人员经费648</w:t>
      </w:r>
      <w:r>
        <w:rPr>
          <w:rFonts w:hint="eastAsia"/>
          <w:lang w:val="en-US" w:eastAsia="zh-CN"/>
        </w:rPr>
        <w:t>.</w:t>
      </w:r>
      <w:r>
        <w:t>99万元和日常公用经费19</w:t>
      </w:r>
      <w:r>
        <w:rPr>
          <w:rFonts w:hint="eastAsia"/>
          <w:lang w:val="en-US" w:eastAsia="zh-CN"/>
        </w:rPr>
        <w:t>.</w:t>
      </w:r>
      <w:r>
        <w:t>3</w:t>
      </w:r>
      <w:r>
        <w:rPr>
          <w:rFonts w:hint="eastAsia"/>
          <w:lang w:val="en-US" w:eastAsia="zh-CN"/>
        </w:rPr>
        <w:t>6</w:t>
      </w:r>
      <w:r>
        <w:t>万元；项目支出27</w:t>
      </w:r>
      <w:r>
        <w:rPr>
          <w:rFonts w:hint="eastAsia"/>
          <w:lang w:val="en-US" w:eastAsia="zh-CN"/>
        </w:rPr>
        <w:t>.</w:t>
      </w:r>
      <w:r>
        <w:t>7</w:t>
      </w:r>
      <w:r>
        <w:rPr>
          <w:rFonts w:hint="eastAsia"/>
          <w:lang w:val="en-US" w:eastAsia="zh-CN"/>
        </w:rPr>
        <w:t>5</w:t>
      </w:r>
      <w:r>
        <w:t>万元，主要为确保经办机构正常运转的专项业务费15万元和城乡居民养老保险代办员2023年结转的0.75万元和2024年12万元。</w:t>
      </w:r>
    </w:p>
    <w:p>
      <w:pPr>
        <w:pStyle w:val="18"/>
      </w:pPr>
      <w:r>
        <w:t>3、比上年增减情况</w:t>
      </w:r>
    </w:p>
    <w:p>
      <w:pPr>
        <w:pStyle w:val="18"/>
      </w:pPr>
      <w:r>
        <w:t>2024年预算收支安排696</w:t>
      </w:r>
      <w:r>
        <w:rPr>
          <w:rFonts w:hint="eastAsia"/>
          <w:lang w:val="en-US" w:eastAsia="zh-CN"/>
        </w:rPr>
        <w:t>.10</w:t>
      </w:r>
      <w:r>
        <w:t>万元，较2023年预算减少49183</w:t>
      </w:r>
      <w:r>
        <w:rPr>
          <w:rFonts w:hint="eastAsia"/>
          <w:lang w:val="en-US" w:eastAsia="zh-CN"/>
        </w:rPr>
        <w:t>.</w:t>
      </w:r>
      <w:r>
        <w:t>3</w:t>
      </w:r>
      <w:r>
        <w:rPr>
          <w:rFonts w:hint="eastAsia"/>
          <w:lang w:val="en-US" w:eastAsia="zh-CN"/>
        </w:rPr>
        <w:t>5</w:t>
      </w:r>
      <w:r>
        <w:t>万元，其中：基本支出增加8</w:t>
      </w:r>
      <w:r>
        <w:rPr>
          <w:rFonts w:hint="eastAsia"/>
          <w:lang w:val="en-US" w:eastAsia="zh-CN"/>
        </w:rPr>
        <w:t>.</w:t>
      </w:r>
      <w:r>
        <w:t>9</w:t>
      </w:r>
      <w:r>
        <w:rPr>
          <w:rFonts w:hint="eastAsia"/>
          <w:lang w:val="en-US" w:eastAsia="zh-CN"/>
        </w:rPr>
        <w:t>5</w:t>
      </w:r>
      <w:r>
        <w:t>万元，主要为工资提高，各项保险缴纳增加，退休人员增加，生活补贴增加。项目支出减少49192</w:t>
      </w:r>
      <w:r>
        <w:rPr>
          <w:rFonts w:hint="eastAsia"/>
          <w:lang w:val="en-US" w:eastAsia="zh-CN"/>
        </w:rPr>
        <w:t>.</w:t>
      </w:r>
      <w:r>
        <w:t>29万元，主要为各项社会保险基金各级财政补助资金按照</w:t>
      </w:r>
      <w:r>
        <w:rPr>
          <w:rFonts w:hint="eastAsia"/>
          <w:lang w:val="en-US" w:eastAsia="zh-CN"/>
        </w:rPr>
        <w:t>规定</w:t>
      </w:r>
      <w:r>
        <w:t>不能列入事业收支，不再列入部门经费。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2024年，我单位机关运行经费共计安排19</w:t>
      </w:r>
      <w:r>
        <w:rPr>
          <w:rFonts w:hint="eastAsia"/>
          <w:lang w:val="en-US" w:eastAsia="zh-CN"/>
        </w:rPr>
        <w:t>.</w:t>
      </w:r>
      <w:r>
        <w:t>3</w:t>
      </w:r>
      <w:r>
        <w:rPr>
          <w:rFonts w:hint="eastAsia"/>
          <w:lang w:val="en-US" w:eastAsia="zh-CN"/>
        </w:rPr>
        <w:t>6</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w:t>
      </w:r>
      <w:r>
        <w:rPr>
          <w:rFonts w:hint="eastAsia"/>
          <w:lang w:val="en-US" w:eastAsia="zh-CN"/>
        </w:rPr>
        <w:t>.</w:t>
      </w:r>
      <w:r>
        <w:t>3</w:t>
      </w:r>
      <w:r>
        <w:rPr>
          <w:rFonts w:hint="eastAsia"/>
          <w:lang w:val="en-US" w:eastAsia="zh-CN"/>
        </w:rPr>
        <w:t>0</w:t>
      </w:r>
      <w:r>
        <w:t>万元，其中因公出国（境）费0.00万元；公务用车购置及运维费2</w:t>
      </w:r>
      <w:r>
        <w:rPr>
          <w:rFonts w:hint="eastAsia"/>
          <w:lang w:val="en-US" w:eastAsia="zh-CN"/>
        </w:rPr>
        <w:t>.</w:t>
      </w:r>
      <w:r>
        <w:t>30万元（其中：公务用车购置费为0.00万元，公务用车运维费2</w:t>
      </w:r>
      <w:r>
        <w:rPr>
          <w:rFonts w:hint="eastAsia"/>
          <w:lang w:val="en-US" w:eastAsia="zh-CN"/>
        </w:rPr>
        <w:t>.</w:t>
      </w:r>
      <w:r>
        <w:t>30万元)；公务接待费0.00万元。与2023年相比增加0.00万元，增减变化的主要原因是我单位三公经费无变化。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1、冀财社[2022]174号2023年省级城乡居民社会保险代办员补助资金绩效目标表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13022923P000BR010630R</w:t>
            </w:r>
          </w:p>
        </w:tc>
        <w:tc>
          <w:tcPr>
            <w:tcW w:w="2835" w:type="dxa"/>
            <w:vAlign w:val="center"/>
          </w:tcPr>
          <w:p>
            <w:pPr>
              <w:pStyle w:val="10"/>
            </w:pPr>
            <w:r>
              <w:t>项目名称</w:t>
            </w:r>
          </w:p>
        </w:tc>
        <w:tc>
          <w:tcPr>
            <w:tcW w:w="6094" w:type="dxa"/>
            <w:gridSpan w:val="3"/>
            <w:vAlign w:val="center"/>
          </w:tcPr>
          <w:p>
            <w:pPr>
              <w:pStyle w:val="12"/>
            </w:pPr>
            <w:r>
              <w:t>冀财社[2022]174号2023年省级城乡居民社会保险代办员补助资金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7479.66</w:t>
            </w:r>
          </w:p>
        </w:tc>
        <w:tc>
          <w:tcPr>
            <w:tcW w:w="2835" w:type="dxa"/>
            <w:vAlign w:val="center"/>
          </w:tcPr>
          <w:p>
            <w:pPr>
              <w:pStyle w:val="10"/>
            </w:pPr>
            <w:r>
              <w:t>其中：财政    资金</w:t>
            </w:r>
          </w:p>
        </w:tc>
        <w:tc>
          <w:tcPr>
            <w:tcW w:w="2551" w:type="dxa"/>
            <w:vAlign w:val="center"/>
          </w:tcPr>
          <w:p>
            <w:pPr>
              <w:pStyle w:val="12"/>
            </w:pPr>
            <w:r>
              <w:t>7479.66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城乡居民社会养老保险村级代办员补助资金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1.城乡居民社会养老保险村级代办员补助资金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按时完成征缴任务</w:t>
            </w:r>
          </w:p>
        </w:tc>
        <w:tc>
          <w:tcPr>
            <w:tcW w:w="2268" w:type="dxa"/>
            <w:vAlign w:val="center"/>
          </w:tcPr>
          <w:p>
            <w:pPr>
              <w:pStyle w:val="12"/>
            </w:pPr>
            <w:r>
              <w:t>100征缴期区间</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拨付率</w:t>
            </w:r>
          </w:p>
        </w:tc>
        <w:tc>
          <w:tcPr>
            <w:tcW w:w="5386" w:type="dxa"/>
            <w:vAlign w:val="center"/>
          </w:tcPr>
          <w:p>
            <w:pPr>
              <w:pStyle w:val="12"/>
            </w:pPr>
            <w:r>
              <w:t>补助资金及时拨付</w:t>
            </w:r>
          </w:p>
        </w:tc>
        <w:tc>
          <w:tcPr>
            <w:tcW w:w="2268" w:type="dxa"/>
            <w:vAlign w:val="center"/>
          </w:tcPr>
          <w:p>
            <w:pPr>
              <w:pStyle w:val="12"/>
            </w:pPr>
            <w:r>
              <w:t>100征缴结束后</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工作效率</w:t>
            </w:r>
          </w:p>
        </w:tc>
        <w:tc>
          <w:tcPr>
            <w:tcW w:w="5386" w:type="dxa"/>
            <w:vAlign w:val="center"/>
          </w:tcPr>
          <w:p>
            <w:pPr>
              <w:pStyle w:val="12"/>
            </w:pPr>
            <w:r>
              <w:t>提高村级代办员工作积极性</w:t>
            </w:r>
          </w:p>
        </w:tc>
        <w:tc>
          <w:tcPr>
            <w:tcW w:w="2268" w:type="dxa"/>
            <w:vAlign w:val="center"/>
          </w:tcPr>
          <w:p>
            <w:pPr>
              <w:pStyle w:val="12"/>
            </w:pPr>
            <w:r>
              <w:t>100效率</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100按行政村平均分配</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确保资助项目政治导向正确</w:t>
            </w:r>
          </w:p>
        </w:tc>
        <w:tc>
          <w:tcPr>
            <w:tcW w:w="5386" w:type="dxa"/>
            <w:vAlign w:val="center"/>
          </w:tcPr>
          <w:p>
            <w:pPr>
              <w:pStyle w:val="12"/>
            </w:pPr>
            <w:r>
              <w:t>资助项目不出现上级通报的意识形态重大问题（个）</w:t>
            </w:r>
          </w:p>
        </w:tc>
        <w:tc>
          <w:tcPr>
            <w:tcW w:w="2268" w:type="dxa"/>
            <w:vAlign w:val="center"/>
          </w:tcPr>
          <w:p>
            <w:pPr>
              <w:pStyle w:val="12"/>
            </w:pPr>
            <w:r>
              <w:t>100专款使用</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能够长期较好地开展基层村级代办员征收城乡居民养老保险。</w:t>
            </w:r>
          </w:p>
        </w:tc>
        <w:tc>
          <w:tcPr>
            <w:tcW w:w="2268" w:type="dxa"/>
            <w:vAlign w:val="center"/>
          </w:tcPr>
          <w:p>
            <w:pPr>
              <w:pStyle w:val="12"/>
            </w:pPr>
            <w:r>
              <w:t>100基层工作稳定开展</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服务水平</w:t>
            </w:r>
          </w:p>
        </w:tc>
        <w:tc>
          <w:tcPr>
            <w:tcW w:w="5386" w:type="dxa"/>
            <w:vAlign w:val="center"/>
          </w:tcPr>
          <w:p>
            <w:pPr>
              <w:pStyle w:val="12"/>
            </w:pPr>
            <w:r>
              <w:t>提高平村级代办员工作积极性，提高服务水平</w:t>
            </w:r>
          </w:p>
        </w:tc>
        <w:tc>
          <w:tcPr>
            <w:tcW w:w="2268" w:type="dxa"/>
            <w:vAlign w:val="center"/>
          </w:tcPr>
          <w:p>
            <w:pPr>
              <w:pStyle w:val="12"/>
            </w:pPr>
            <w:r>
              <w:t>100工作效率</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≥95城乡居民养老征缴可持续</w:t>
            </w:r>
          </w:p>
        </w:tc>
        <w:tc>
          <w:tcPr>
            <w:tcW w:w="1276" w:type="dxa"/>
            <w:vAlign w:val="center"/>
          </w:tcPr>
          <w:p>
            <w:pPr>
              <w:pStyle w:val="12"/>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接受城乡居民养老保险参保人员人群对基层村级代办员提供服务的满意程度</w:t>
            </w:r>
          </w:p>
        </w:tc>
        <w:tc>
          <w:tcPr>
            <w:tcW w:w="2268" w:type="dxa"/>
            <w:vAlign w:val="center"/>
          </w:tcPr>
          <w:p>
            <w:pPr>
              <w:pStyle w:val="12"/>
            </w:pPr>
            <w:r>
              <w:t>≥95对接受服务的满意度</w:t>
            </w:r>
          </w:p>
        </w:tc>
        <w:tc>
          <w:tcPr>
            <w:tcW w:w="1276" w:type="dxa"/>
            <w:vAlign w:val="center"/>
          </w:tcPr>
          <w:p>
            <w:pPr>
              <w:pStyle w:val="12"/>
            </w:pPr>
            <w:r>
              <w:t>冀财社【2022】174号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2、冀财社[2023]214号下达2024年省级城乡居民社会保险代办员补助资金绩效目标表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13022924P000BR0109189</w:t>
            </w:r>
          </w:p>
        </w:tc>
        <w:tc>
          <w:tcPr>
            <w:tcW w:w="2835" w:type="dxa"/>
            <w:vAlign w:val="center"/>
          </w:tcPr>
          <w:p>
            <w:pPr>
              <w:pStyle w:val="10"/>
            </w:pPr>
            <w:r>
              <w:t>项目名称</w:t>
            </w:r>
          </w:p>
        </w:tc>
        <w:tc>
          <w:tcPr>
            <w:tcW w:w="6094" w:type="dxa"/>
            <w:gridSpan w:val="3"/>
            <w:vAlign w:val="center"/>
          </w:tcPr>
          <w:p>
            <w:pPr>
              <w:pStyle w:val="12"/>
            </w:pPr>
            <w:r>
              <w:t>冀财社[2023]214号下达2024年省级城乡居民社会保险代办员补助资金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120000.00</w:t>
            </w:r>
          </w:p>
        </w:tc>
        <w:tc>
          <w:tcPr>
            <w:tcW w:w="2835" w:type="dxa"/>
            <w:vAlign w:val="center"/>
          </w:tcPr>
          <w:p>
            <w:pPr>
              <w:pStyle w:val="10"/>
            </w:pPr>
            <w:r>
              <w:t>其中：财政    资金</w:t>
            </w:r>
          </w:p>
        </w:tc>
        <w:tc>
          <w:tcPr>
            <w:tcW w:w="2551" w:type="dxa"/>
            <w:vAlign w:val="center"/>
          </w:tcPr>
          <w:p>
            <w:pPr>
              <w:pStyle w:val="12"/>
            </w:pPr>
            <w:r>
              <w:t>120000.00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城乡居民养老保险代办员省级补助资金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1.征缴期结束后及时发放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按时完成征缴任务</w:t>
            </w:r>
          </w:p>
        </w:tc>
        <w:tc>
          <w:tcPr>
            <w:tcW w:w="2268" w:type="dxa"/>
            <w:vAlign w:val="center"/>
          </w:tcPr>
          <w:p>
            <w:pPr>
              <w:pStyle w:val="12"/>
            </w:pPr>
            <w:r>
              <w:t>100征缴期区间</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拨付率</w:t>
            </w:r>
          </w:p>
        </w:tc>
        <w:tc>
          <w:tcPr>
            <w:tcW w:w="5386" w:type="dxa"/>
            <w:vAlign w:val="center"/>
          </w:tcPr>
          <w:p>
            <w:pPr>
              <w:pStyle w:val="12"/>
            </w:pPr>
            <w:r>
              <w:t>补助资金及时拨付</w:t>
            </w:r>
          </w:p>
        </w:tc>
        <w:tc>
          <w:tcPr>
            <w:tcW w:w="2268" w:type="dxa"/>
            <w:vAlign w:val="center"/>
          </w:tcPr>
          <w:p>
            <w:pPr>
              <w:pStyle w:val="12"/>
            </w:pPr>
            <w:r>
              <w:t>100征缴结束后</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工作效率</w:t>
            </w:r>
          </w:p>
        </w:tc>
        <w:tc>
          <w:tcPr>
            <w:tcW w:w="5386" w:type="dxa"/>
            <w:vAlign w:val="center"/>
          </w:tcPr>
          <w:p>
            <w:pPr>
              <w:pStyle w:val="12"/>
            </w:pPr>
            <w:r>
              <w:t>提高村级代办员工作积极性</w:t>
            </w:r>
          </w:p>
        </w:tc>
        <w:tc>
          <w:tcPr>
            <w:tcW w:w="2268" w:type="dxa"/>
            <w:vAlign w:val="center"/>
          </w:tcPr>
          <w:p>
            <w:pPr>
              <w:pStyle w:val="12"/>
            </w:pPr>
            <w:r>
              <w:t>100效率</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100按行政村平均分配</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确保资助项目政治导向正确</w:t>
            </w:r>
          </w:p>
        </w:tc>
        <w:tc>
          <w:tcPr>
            <w:tcW w:w="5386" w:type="dxa"/>
            <w:vAlign w:val="center"/>
          </w:tcPr>
          <w:p>
            <w:pPr>
              <w:pStyle w:val="12"/>
            </w:pPr>
            <w:r>
              <w:t>资助项目不出现上级通报的意识形态重大问题（个）</w:t>
            </w:r>
          </w:p>
        </w:tc>
        <w:tc>
          <w:tcPr>
            <w:tcW w:w="2268" w:type="dxa"/>
            <w:vAlign w:val="center"/>
          </w:tcPr>
          <w:p>
            <w:pPr>
              <w:pStyle w:val="12"/>
            </w:pPr>
            <w:r>
              <w:t>100专款使用</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能够长期较好地开展基层村级代办员征收城乡居民养老保险。</w:t>
            </w:r>
          </w:p>
        </w:tc>
        <w:tc>
          <w:tcPr>
            <w:tcW w:w="2268" w:type="dxa"/>
            <w:vAlign w:val="center"/>
          </w:tcPr>
          <w:p>
            <w:pPr>
              <w:pStyle w:val="12"/>
            </w:pPr>
            <w:r>
              <w:t>100基层工作稳定开展</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服务水平</w:t>
            </w:r>
          </w:p>
        </w:tc>
        <w:tc>
          <w:tcPr>
            <w:tcW w:w="5386" w:type="dxa"/>
            <w:vAlign w:val="center"/>
          </w:tcPr>
          <w:p>
            <w:pPr>
              <w:pStyle w:val="12"/>
            </w:pPr>
            <w:r>
              <w:t>提高平村级代办员工作积极性，提高服务水平</w:t>
            </w:r>
          </w:p>
        </w:tc>
        <w:tc>
          <w:tcPr>
            <w:tcW w:w="2268" w:type="dxa"/>
            <w:vAlign w:val="center"/>
          </w:tcPr>
          <w:p>
            <w:pPr>
              <w:pStyle w:val="12"/>
            </w:pPr>
            <w:r>
              <w:t>100工作效率</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≥95城乡居民养老征缴可持续</w:t>
            </w:r>
          </w:p>
        </w:tc>
        <w:tc>
          <w:tcPr>
            <w:tcW w:w="1276" w:type="dxa"/>
            <w:vAlign w:val="center"/>
          </w:tcPr>
          <w:p>
            <w:pPr>
              <w:pStyle w:val="12"/>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接受城乡居民养老保险参保人员人群对基层村级代办员提供服务的满意程度</w:t>
            </w:r>
          </w:p>
        </w:tc>
        <w:tc>
          <w:tcPr>
            <w:tcW w:w="2268" w:type="dxa"/>
            <w:vAlign w:val="center"/>
          </w:tcPr>
          <w:p>
            <w:pPr>
              <w:pStyle w:val="12"/>
            </w:pPr>
            <w:r>
              <w:t>≥95对接受服务的满意度</w:t>
            </w:r>
          </w:p>
        </w:tc>
        <w:tc>
          <w:tcPr>
            <w:tcW w:w="1276" w:type="dxa"/>
            <w:vAlign w:val="center"/>
          </w:tcPr>
          <w:p>
            <w:pPr>
              <w:pStyle w:val="12"/>
            </w:pPr>
            <w:r>
              <w:t>冀财社【2023】214号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13022924P00JXC418050K</w:t>
            </w:r>
          </w:p>
        </w:tc>
        <w:tc>
          <w:tcPr>
            <w:tcW w:w="2835" w:type="dxa"/>
            <w:vAlign w:val="center"/>
          </w:tcPr>
          <w:p>
            <w:pPr>
              <w:pStyle w:val="10"/>
            </w:pPr>
            <w:r>
              <w:t>项目名称</w:t>
            </w:r>
          </w:p>
        </w:tc>
        <w:tc>
          <w:tcPr>
            <w:tcW w:w="6094" w:type="dxa"/>
            <w:gridSpan w:val="3"/>
            <w:vAlign w:val="center"/>
          </w:tcPr>
          <w:p>
            <w:pPr>
              <w:pStyle w:val="12"/>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确保社保经办业务顺利开展，确保人社公共服务大厅更好地服务参保单位和参保人员。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1.确保社保经办业务顺利开展，确保人社公共服务大厅更好地服务参保单位和参保人员。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达到上级要求</w:t>
            </w:r>
          </w:p>
        </w:tc>
        <w:tc>
          <w:tcPr>
            <w:tcW w:w="5386" w:type="dxa"/>
            <w:vAlign w:val="center"/>
          </w:tcPr>
          <w:p>
            <w:pPr>
              <w:pStyle w:val="12"/>
            </w:pPr>
            <w:r>
              <w:t>达到上级部门要求完成的任务</w:t>
            </w:r>
          </w:p>
        </w:tc>
        <w:tc>
          <w:tcPr>
            <w:tcW w:w="2268" w:type="dxa"/>
            <w:vAlign w:val="center"/>
          </w:tcPr>
          <w:p>
            <w:pPr>
              <w:pStyle w:val="12"/>
            </w:pPr>
            <w:r>
              <w:t>≥90完成征缴扩面任务</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经费保证能力</w:t>
            </w:r>
          </w:p>
        </w:tc>
        <w:tc>
          <w:tcPr>
            <w:tcW w:w="5386" w:type="dxa"/>
            <w:vAlign w:val="center"/>
          </w:tcPr>
          <w:p>
            <w:pPr>
              <w:pStyle w:val="12"/>
            </w:pPr>
            <w:r>
              <w:t>保证日常工作正常运转的能力</w:t>
            </w:r>
          </w:p>
        </w:tc>
        <w:tc>
          <w:tcPr>
            <w:tcW w:w="2268" w:type="dxa"/>
            <w:vAlign w:val="center"/>
          </w:tcPr>
          <w:p>
            <w:pPr>
              <w:pStyle w:val="12"/>
            </w:pPr>
            <w:r>
              <w:t>≥90保障办公</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报告完成</w:t>
            </w:r>
          </w:p>
        </w:tc>
        <w:tc>
          <w:tcPr>
            <w:tcW w:w="5386" w:type="dxa"/>
            <w:vAlign w:val="center"/>
          </w:tcPr>
          <w:p>
            <w:pPr>
              <w:pStyle w:val="12"/>
            </w:pPr>
            <w:r>
              <w:t>提交年度报告时间节点</w:t>
            </w:r>
          </w:p>
        </w:tc>
        <w:tc>
          <w:tcPr>
            <w:tcW w:w="2268" w:type="dxa"/>
            <w:vAlign w:val="center"/>
          </w:tcPr>
          <w:p>
            <w:pPr>
              <w:pStyle w:val="12"/>
            </w:pPr>
            <w:r>
              <w:t>≥90开展业务</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≥90节约利用</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效益指标</w:t>
            </w:r>
          </w:p>
        </w:tc>
        <w:tc>
          <w:tcPr>
            <w:tcW w:w="5386" w:type="dxa"/>
            <w:vAlign w:val="center"/>
          </w:tcPr>
          <w:p>
            <w:pPr>
              <w:pStyle w:val="12"/>
            </w:pPr>
            <w:r>
              <w:t>合理人员开支</w:t>
            </w:r>
          </w:p>
        </w:tc>
        <w:tc>
          <w:tcPr>
            <w:tcW w:w="2268" w:type="dxa"/>
            <w:vAlign w:val="center"/>
          </w:tcPr>
          <w:p>
            <w:pPr>
              <w:pStyle w:val="12"/>
            </w:pPr>
            <w:r>
              <w:t>≥90保障运转</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≥90社保经办稳定发挥作用</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节约专用材料成本</w:t>
            </w:r>
          </w:p>
        </w:tc>
        <w:tc>
          <w:tcPr>
            <w:tcW w:w="2268" w:type="dxa"/>
            <w:vAlign w:val="center"/>
          </w:tcPr>
          <w:p>
            <w:pPr>
              <w:pStyle w:val="12"/>
            </w:pPr>
            <w:r>
              <w:t>≥90节约资源</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≥90更好开展人社业务</w:t>
            </w:r>
          </w:p>
        </w:tc>
        <w:tc>
          <w:tcPr>
            <w:tcW w:w="1276" w:type="dxa"/>
            <w:vAlign w:val="center"/>
          </w:tcPr>
          <w:p>
            <w:pPr>
              <w:pStyle w:val="12"/>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≥90参保人员意度度</w:t>
            </w:r>
          </w:p>
        </w:tc>
        <w:tc>
          <w:tcPr>
            <w:tcW w:w="1276" w:type="dxa"/>
            <w:vAlign w:val="center"/>
          </w:tcPr>
          <w:p>
            <w:pPr>
              <w:pStyle w:val="12"/>
            </w:pPr>
            <w:r>
              <w:t>保障社保经办机构正常运转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rPr>
                <w:rFonts w:hint="default" w:eastAsia="方正书宋_GBK"/>
                <w:lang w:val="en-US" w:eastAsia="zh-CN"/>
              </w:rPr>
            </w:pPr>
            <w:r>
              <w:rPr>
                <w:rFonts w:hint="eastAsia"/>
                <w:lang w:val="en-US" w:eastAsia="zh-CN"/>
              </w:rPr>
              <w:t>公务用车保险</w:t>
            </w:r>
          </w:p>
        </w:tc>
        <w:tc>
          <w:tcPr>
            <w:tcW w:w="986" w:type="dxa"/>
            <w:vAlign w:val="center"/>
          </w:tcPr>
          <w:p>
            <w:pPr>
              <w:pStyle w:val="11"/>
              <w:rPr>
                <w:rFonts w:hint="default" w:eastAsia="方正书宋_GBK"/>
                <w:lang w:val="en-US" w:eastAsia="zh-CN"/>
              </w:rPr>
            </w:pPr>
            <w:r>
              <w:rPr>
                <w:rFonts w:hint="eastAsia"/>
                <w:lang w:val="en-US" w:eastAsia="zh-CN"/>
              </w:rPr>
              <w:t>2500</w:t>
            </w:r>
          </w:p>
        </w:tc>
        <w:tc>
          <w:tcPr>
            <w:tcW w:w="986" w:type="dxa"/>
            <w:vAlign w:val="center"/>
          </w:tcPr>
          <w:p>
            <w:pPr>
              <w:pStyle w:val="12"/>
              <w:rPr>
                <w:rFonts w:hint="eastAsia" w:eastAsia="方正书宋_GBK"/>
                <w:lang w:val="en-US" w:eastAsia="zh-CN"/>
              </w:rPr>
            </w:pPr>
            <w:r>
              <w:rPr>
                <w:rFonts w:hint="eastAsia"/>
                <w:lang w:val="en-US" w:eastAsia="zh-CN"/>
              </w:rPr>
              <w:t>车辆保险</w:t>
            </w:r>
          </w:p>
        </w:tc>
        <w:tc>
          <w:tcPr>
            <w:tcW w:w="986" w:type="dxa"/>
            <w:vAlign w:val="center"/>
          </w:tcPr>
          <w:p>
            <w:pPr>
              <w:pStyle w:val="12"/>
            </w:pPr>
          </w:p>
        </w:tc>
        <w:tc>
          <w:tcPr>
            <w:tcW w:w="986" w:type="dxa"/>
            <w:vAlign w:val="center"/>
          </w:tcPr>
          <w:p>
            <w:pPr>
              <w:pStyle w:val="13"/>
              <w:rPr>
                <w:rFonts w:hint="eastAsia" w:eastAsia="方正书宋_GBK"/>
                <w:lang w:val="en-US" w:eastAsia="zh-CN"/>
              </w:rPr>
            </w:pPr>
            <w:r>
              <w:rPr>
                <w:rFonts w:hint="eastAsia"/>
                <w:lang w:val="en-US" w:eastAsia="zh-CN"/>
              </w:rPr>
              <w:t>元</w:t>
            </w:r>
          </w:p>
        </w:tc>
        <w:tc>
          <w:tcPr>
            <w:tcW w:w="986" w:type="dxa"/>
            <w:vAlign w:val="center"/>
          </w:tcPr>
          <w:p>
            <w:pPr>
              <w:pStyle w:val="11"/>
              <w:rPr>
                <w:rFonts w:hint="eastAsia" w:eastAsia="方正书宋_GBK"/>
                <w:lang w:val="en-US" w:eastAsia="zh-CN"/>
              </w:rPr>
            </w:pPr>
            <w:r>
              <w:rPr>
                <w:rFonts w:hint="eastAsia"/>
                <w:lang w:val="en-US" w:eastAsia="zh-CN"/>
              </w:rPr>
              <w:t>1</w:t>
            </w:r>
          </w:p>
        </w:tc>
        <w:tc>
          <w:tcPr>
            <w:tcW w:w="986" w:type="dxa"/>
            <w:vAlign w:val="center"/>
          </w:tcPr>
          <w:p>
            <w:pPr>
              <w:pStyle w:val="11"/>
              <w:rPr>
                <w:rFonts w:hint="default" w:eastAsia="方正书宋_GBK"/>
                <w:lang w:val="en-US" w:eastAsia="zh-CN"/>
              </w:rPr>
            </w:pPr>
            <w:r>
              <w:rPr>
                <w:rFonts w:hint="eastAsia"/>
                <w:lang w:val="en-US" w:eastAsia="zh-CN"/>
              </w:rPr>
              <w:t>2500</w:t>
            </w:r>
          </w:p>
        </w:tc>
        <w:tc>
          <w:tcPr>
            <w:tcW w:w="986" w:type="dxa"/>
            <w:vAlign w:val="center"/>
          </w:tcPr>
          <w:p>
            <w:pPr>
              <w:pStyle w:val="11"/>
              <w:rPr>
                <w:rFonts w:hint="default" w:eastAsia="方正书宋_GBK"/>
                <w:lang w:val="en-US" w:eastAsia="zh-CN"/>
              </w:rPr>
            </w:pPr>
            <w:r>
              <w:rPr>
                <w:rFonts w:hint="eastAsia"/>
                <w:lang w:val="en-US" w:eastAsia="zh-CN"/>
              </w:rPr>
              <w:t>2500</w:t>
            </w:r>
          </w:p>
        </w:tc>
        <w:tc>
          <w:tcPr>
            <w:tcW w:w="986" w:type="dxa"/>
            <w:vAlign w:val="center"/>
          </w:tcPr>
          <w:p>
            <w:pPr>
              <w:pStyle w:val="11"/>
              <w:rPr>
                <w:rFonts w:hint="default" w:eastAsia="方正书宋_GBK"/>
                <w:lang w:val="en-US" w:eastAsia="zh-CN"/>
              </w:rPr>
            </w:pPr>
            <w:r>
              <w:rPr>
                <w:rFonts w:hint="eastAsia"/>
                <w:lang w:val="en-US" w:eastAsia="zh-CN"/>
              </w:rPr>
              <w:t>2500</w:t>
            </w:r>
          </w:p>
        </w:tc>
        <w:tc>
          <w:tcPr>
            <w:tcW w:w="986" w:type="dxa"/>
            <w:vAlign w:val="center"/>
          </w:tcPr>
          <w:p>
            <w:pPr>
              <w:pStyle w:val="11"/>
              <w:rPr>
                <w:rFonts w:hint="eastAsia" w:eastAsia="方正书宋_GBK"/>
                <w:lang w:val="en-US" w:eastAsia="zh-CN"/>
              </w:rPr>
            </w:pPr>
            <w:r>
              <w:rPr>
                <w:rFonts w:hint="eastAsia"/>
                <w:lang w:val="en-US" w:eastAsia="zh-CN"/>
              </w:rPr>
              <w:t>0</w:t>
            </w:r>
          </w:p>
        </w:tc>
        <w:tc>
          <w:tcPr>
            <w:tcW w:w="986" w:type="dxa"/>
            <w:vAlign w:val="center"/>
          </w:tcPr>
          <w:p>
            <w:pPr>
              <w:pStyle w:val="11"/>
              <w:rPr>
                <w:rFonts w:hint="eastAsia" w:eastAsia="方正书宋_GBK"/>
                <w:lang w:val="en-US" w:eastAsia="zh-CN"/>
              </w:rPr>
            </w:pPr>
            <w:r>
              <w:rPr>
                <w:rFonts w:hint="eastAsia"/>
                <w:lang w:val="en-US" w:eastAsia="zh-CN"/>
              </w:rPr>
              <w:t>0</w:t>
            </w:r>
          </w:p>
        </w:tc>
        <w:tc>
          <w:tcPr>
            <w:tcW w:w="986" w:type="dxa"/>
            <w:vAlign w:val="center"/>
          </w:tcPr>
          <w:p>
            <w:pPr>
              <w:pStyle w:val="11"/>
              <w:rPr>
                <w:rFonts w:hint="eastAsia" w:eastAsia="方正书宋_GBK"/>
                <w:lang w:val="en-US" w:eastAsia="zh-CN"/>
              </w:rPr>
            </w:pPr>
            <w:r>
              <w:rPr>
                <w:rFonts w:hint="eastAsia"/>
                <w:lang w:val="en-US" w:eastAsia="zh-CN"/>
              </w:rPr>
              <w:t>0</w:t>
            </w:r>
          </w:p>
        </w:tc>
        <w:tc>
          <w:tcPr>
            <w:tcW w:w="986" w:type="dxa"/>
            <w:vAlign w:val="center"/>
          </w:tcPr>
          <w:p>
            <w:pPr>
              <w:pStyle w:val="11"/>
              <w:rPr>
                <w:rFonts w:hint="eastAsia" w:eastAsia="方正书宋_GBK"/>
                <w:lang w:val="en-US" w:eastAsia="zh-CN"/>
              </w:rPr>
            </w:pPr>
            <w:r>
              <w:rPr>
                <w:rFonts w:hint="eastAsia"/>
                <w:lang w:val="en-US" w:eastAsia="zh-CN"/>
              </w:rPr>
              <w:t>0</w:t>
            </w:r>
          </w:p>
        </w:tc>
        <w:tc>
          <w:tcPr>
            <w:tcW w:w="986" w:type="dxa"/>
            <w:vAlign w:val="center"/>
          </w:tcPr>
          <w:p>
            <w:pPr>
              <w:pStyle w:val="11"/>
              <w:rPr>
                <w:rFonts w:hint="eastAsia" w:eastAsia="方正书宋_GBK"/>
                <w:lang w:val="en-US" w:eastAsia="zh-CN"/>
              </w:rPr>
            </w:pPr>
            <w:r>
              <w:rPr>
                <w:rFonts w:hint="eastAsia"/>
                <w:lang w:val="en-US" w:eastAsia="zh-CN"/>
              </w:rPr>
              <w:t>0</w:t>
            </w:r>
          </w:p>
        </w:tc>
        <w:tc>
          <w:tcPr>
            <w:tcW w:w="986" w:type="dxa"/>
            <w:vAlign w:val="center"/>
          </w:tcPr>
          <w:p>
            <w:pPr>
              <w:pStyle w:val="11"/>
              <w:rPr>
                <w:rFonts w:hint="eastAsia" w:eastAsia="方正书宋_GBK"/>
                <w:lang w:val="en-US" w:eastAsia="zh-CN"/>
              </w:rPr>
            </w:pPr>
            <w:r>
              <w:rPr>
                <w:rFonts w:hint="eastAsia"/>
                <w:lang w:val="en-US" w:eastAsia="zh-CN"/>
              </w:rPr>
              <w:t>2500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玉田县社会保险服务中心本级上年末固定资产金额为836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5</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326001玉田县社会保险服务中心本级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8365275.47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3686</w:t>
            </w:r>
          </w:p>
        </w:tc>
        <w:tc>
          <w:tcPr>
            <w:tcW w:w="2835" w:type="dxa"/>
            <w:vAlign w:val="center"/>
          </w:tcPr>
          <w:p>
            <w:pPr>
              <w:pStyle w:val="11"/>
            </w:pPr>
            <w:r>
              <w:t>5564371.00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883</w:t>
            </w:r>
          </w:p>
        </w:tc>
        <w:tc>
          <w:tcPr>
            <w:tcW w:w="2835" w:type="dxa"/>
            <w:vAlign w:val="center"/>
          </w:tcPr>
          <w:p>
            <w:pPr>
              <w:pStyle w:val="11"/>
            </w:pPr>
            <w:r>
              <w:t>2664904.47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DJmNjhkNzI2NDBjZWVlOTUwMDRiNmQ2ODUzOTgifQ=="/>
  </w:docVars>
  <w:rsids>
    <w:rsidRoot w:val="00000000"/>
    <w:rsid w:val="0C6401E8"/>
    <w:rsid w:val="2ED30198"/>
    <w:rsid w:val="3FEEB3A9"/>
    <w:rsid w:val="DD5F7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2024-02-05T01:39:00Z</dcterms:created>
  <dc:creator>Lenovo</dc:creator>
  <cp:lastModifiedBy>baixin</cp:lastModifiedBy>
  <dcterms:modified xsi:type="dcterms:W3CDTF">2025-05-12T14:39:56Z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303A723FC28E507868942168CB08CC67</vt:lpwstr>
  </property>
</Properties>
</file>