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326玉田县社会保险服务中心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6953496.37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6960976.03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6953496.37</w:t>
            </w:r>
          </w:p>
        </w:tc>
        <w:tc>
          <w:tcPr>
            <w:tcW w:w="4535" w:type="dxa"/>
            <w:vAlign w:val="center"/>
          </w:tcPr>
          <w:p>
            <w:pPr>
              <w:pStyle w:val="15"/>
            </w:pPr>
            <w:r>
              <w:t>本年支出合计</w:t>
            </w:r>
          </w:p>
        </w:tc>
        <w:tc>
          <w:tcPr>
            <w:tcW w:w="2126" w:type="dxa"/>
            <w:vAlign w:val="center"/>
          </w:tcPr>
          <w:p>
            <w:pPr>
              <w:pStyle w:val="16"/>
            </w:pPr>
            <w:r>
              <w:t>6960976.03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7479.66</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6960976.03</w:t>
            </w:r>
          </w:p>
        </w:tc>
        <w:tc>
          <w:tcPr>
            <w:tcW w:w="4535" w:type="dxa"/>
            <w:vAlign w:val="center"/>
          </w:tcPr>
          <w:p>
            <w:pPr>
              <w:pStyle w:val="15"/>
            </w:pPr>
            <w:r>
              <w:t>支出总计</w:t>
            </w:r>
          </w:p>
        </w:tc>
        <w:tc>
          <w:tcPr>
            <w:tcW w:w="2126" w:type="dxa"/>
            <w:vAlign w:val="center"/>
          </w:tcPr>
          <w:p>
            <w:pPr>
              <w:pStyle w:val="16"/>
            </w:pPr>
            <w:r>
              <w:t>6960976.03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326玉田县社会保险服务中心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6960976.03</w:t>
            </w:r>
          </w:p>
        </w:tc>
        <w:tc>
          <w:tcPr>
            <w:tcW w:w="1134" w:type="dxa"/>
            <w:vAlign w:val="center"/>
          </w:tcPr>
          <w:p>
            <w:pPr>
              <w:pStyle w:val="16"/>
            </w:pPr>
            <w:r>
              <w:t>6953496.37</w:t>
            </w:r>
          </w:p>
        </w:tc>
        <w:tc>
          <w:tcPr>
            <w:tcW w:w="1134" w:type="dxa"/>
            <w:vAlign w:val="center"/>
          </w:tcPr>
          <w:p>
            <w:pPr>
              <w:pStyle w:val="16"/>
            </w:pPr>
            <w:r>
              <w:t>6953496.37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6960976.03</w:t>
            </w:r>
          </w:p>
        </w:tc>
        <w:tc>
          <w:tcPr>
            <w:tcW w:w="1134" w:type="dxa"/>
            <w:vAlign w:val="center"/>
          </w:tcPr>
          <w:p>
            <w:pPr>
              <w:pStyle w:val="12"/>
            </w:pPr>
            <w:r>
              <w:t>6953496.37</w:t>
            </w:r>
          </w:p>
        </w:tc>
        <w:tc>
          <w:tcPr>
            <w:tcW w:w="1134" w:type="dxa"/>
            <w:vAlign w:val="center"/>
          </w:tcPr>
          <w:p>
            <w:pPr>
              <w:pStyle w:val="12"/>
            </w:pPr>
            <w:r>
              <w:t>6953496.37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6960976.03</w:t>
            </w:r>
          </w:p>
        </w:tc>
        <w:tc>
          <w:tcPr>
            <w:tcW w:w="1134" w:type="dxa"/>
            <w:vAlign w:val="center"/>
          </w:tcPr>
          <w:p>
            <w:pPr>
              <w:pStyle w:val="12"/>
            </w:pPr>
            <w:r>
              <w:t>6953496.37</w:t>
            </w:r>
          </w:p>
        </w:tc>
        <w:tc>
          <w:tcPr>
            <w:tcW w:w="1134" w:type="dxa"/>
            <w:vAlign w:val="center"/>
          </w:tcPr>
          <w:p>
            <w:pPr>
              <w:pStyle w:val="12"/>
            </w:pPr>
            <w:r>
              <w:t>6953496.37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2080109</w:t>
            </w:r>
          </w:p>
        </w:tc>
        <w:tc>
          <w:tcPr>
            <w:tcW w:w="1559" w:type="dxa"/>
            <w:vAlign w:val="center"/>
          </w:tcPr>
          <w:p>
            <w:pPr>
              <w:pStyle w:val="13"/>
            </w:pPr>
            <w:r>
              <w:t>社会保险经办机构</w:t>
            </w:r>
          </w:p>
        </w:tc>
        <w:tc>
          <w:tcPr>
            <w:tcW w:w="1134" w:type="dxa"/>
            <w:vAlign w:val="center"/>
          </w:tcPr>
          <w:p>
            <w:pPr>
              <w:pStyle w:val="12"/>
            </w:pPr>
            <w:r>
              <w:t>6833496.37</w:t>
            </w:r>
          </w:p>
        </w:tc>
        <w:tc>
          <w:tcPr>
            <w:tcW w:w="1134" w:type="dxa"/>
            <w:vAlign w:val="center"/>
          </w:tcPr>
          <w:p>
            <w:pPr>
              <w:pStyle w:val="12"/>
            </w:pPr>
            <w:r>
              <w:t>6833496.37</w:t>
            </w:r>
          </w:p>
        </w:tc>
        <w:tc>
          <w:tcPr>
            <w:tcW w:w="1134" w:type="dxa"/>
            <w:vAlign w:val="center"/>
          </w:tcPr>
          <w:p>
            <w:pPr>
              <w:pStyle w:val="12"/>
            </w:pPr>
            <w:r>
              <w:t>6833496.37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2080199</w:t>
            </w:r>
          </w:p>
        </w:tc>
        <w:tc>
          <w:tcPr>
            <w:tcW w:w="1559" w:type="dxa"/>
            <w:vAlign w:val="center"/>
          </w:tcPr>
          <w:p>
            <w:pPr>
              <w:pStyle w:val="13"/>
            </w:pPr>
            <w:r>
              <w:t>其他人力资源和社会保障管理事务支出</w:t>
            </w:r>
          </w:p>
        </w:tc>
        <w:tc>
          <w:tcPr>
            <w:tcW w:w="1134" w:type="dxa"/>
            <w:vAlign w:val="center"/>
          </w:tcPr>
          <w:p>
            <w:pPr>
              <w:pStyle w:val="12"/>
            </w:pPr>
            <w:r>
              <w:t>127479.66</w:t>
            </w:r>
          </w:p>
        </w:tc>
        <w:tc>
          <w:tcPr>
            <w:tcW w:w="1134" w:type="dxa"/>
            <w:vAlign w:val="center"/>
          </w:tcPr>
          <w:p>
            <w:pPr>
              <w:pStyle w:val="12"/>
            </w:pPr>
            <w:r>
              <w:t>120000.00</w:t>
            </w:r>
          </w:p>
        </w:tc>
        <w:tc>
          <w:tcPr>
            <w:tcW w:w="1134" w:type="dxa"/>
            <w:vAlign w:val="center"/>
          </w:tcPr>
          <w:p>
            <w:pPr>
              <w:pStyle w:val="12"/>
            </w:pPr>
            <w:r>
              <w:t>120000.00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7479.66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6960976.03</w:t>
            </w:r>
          </w:p>
        </w:tc>
        <w:tc>
          <w:tcPr>
            <w:tcW w:w="1361" w:type="dxa"/>
            <w:vAlign w:val="center"/>
          </w:tcPr>
          <w:p>
            <w:pPr>
              <w:pStyle w:val="16"/>
            </w:pPr>
            <w:r>
              <w:t>6683496.37</w:t>
            </w:r>
          </w:p>
        </w:tc>
        <w:tc>
          <w:tcPr>
            <w:tcW w:w="1361" w:type="dxa"/>
            <w:vAlign w:val="center"/>
          </w:tcPr>
          <w:p>
            <w:pPr>
              <w:pStyle w:val="16"/>
            </w:pPr>
            <w:r>
              <w:t>277479.66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6960976.03</w:t>
            </w:r>
          </w:p>
        </w:tc>
        <w:tc>
          <w:tcPr>
            <w:tcW w:w="1361" w:type="dxa"/>
            <w:vAlign w:val="center"/>
          </w:tcPr>
          <w:p>
            <w:pPr>
              <w:pStyle w:val="12"/>
            </w:pPr>
            <w:r>
              <w:t>6683496.37</w:t>
            </w:r>
          </w:p>
        </w:tc>
        <w:tc>
          <w:tcPr>
            <w:tcW w:w="1361" w:type="dxa"/>
            <w:vAlign w:val="center"/>
          </w:tcPr>
          <w:p>
            <w:pPr>
              <w:pStyle w:val="12"/>
            </w:pPr>
            <w:r>
              <w:t>277479.66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6960976.03</w:t>
            </w:r>
          </w:p>
        </w:tc>
        <w:tc>
          <w:tcPr>
            <w:tcW w:w="1361" w:type="dxa"/>
            <w:vAlign w:val="center"/>
          </w:tcPr>
          <w:p>
            <w:pPr>
              <w:pStyle w:val="12"/>
            </w:pPr>
            <w:r>
              <w:t>6683496.37</w:t>
            </w:r>
          </w:p>
        </w:tc>
        <w:tc>
          <w:tcPr>
            <w:tcW w:w="1361" w:type="dxa"/>
            <w:vAlign w:val="center"/>
          </w:tcPr>
          <w:p>
            <w:pPr>
              <w:pStyle w:val="12"/>
            </w:pPr>
            <w:r>
              <w:t>277479.66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2080109</w:t>
            </w:r>
          </w:p>
        </w:tc>
        <w:tc>
          <w:tcPr>
            <w:tcW w:w="4535" w:type="dxa"/>
            <w:vAlign w:val="center"/>
          </w:tcPr>
          <w:p>
            <w:pPr>
              <w:pStyle w:val="13"/>
            </w:pPr>
            <w:r>
              <w:t>社会保险经办机构</w:t>
            </w:r>
          </w:p>
        </w:tc>
        <w:tc>
          <w:tcPr>
            <w:tcW w:w="1361" w:type="dxa"/>
            <w:vAlign w:val="center"/>
          </w:tcPr>
          <w:p>
            <w:pPr>
              <w:pStyle w:val="12"/>
            </w:pPr>
            <w:r>
              <w:t>6833496.37</w:t>
            </w:r>
          </w:p>
        </w:tc>
        <w:tc>
          <w:tcPr>
            <w:tcW w:w="1361" w:type="dxa"/>
            <w:vAlign w:val="center"/>
          </w:tcPr>
          <w:p>
            <w:pPr>
              <w:pStyle w:val="12"/>
            </w:pPr>
            <w:r>
              <w:t>6683496.37</w:t>
            </w: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2080199</w:t>
            </w:r>
          </w:p>
        </w:tc>
        <w:tc>
          <w:tcPr>
            <w:tcW w:w="4535" w:type="dxa"/>
            <w:vAlign w:val="center"/>
          </w:tcPr>
          <w:p>
            <w:pPr>
              <w:pStyle w:val="13"/>
            </w:pPr>
            <w:r>
              <w:t>其他人力资源和社会保障管理事务支出</w:t>
            </w:r>
          </w:p>
        </w:tc>
        <w:tc>
          <w:tcPr>
            <w:tcW w:w="1361" w:type="dxa"/>
            <w:vAlign w:val="center"/>
          </w:tcPr>
          <w:p>
            <w:pPr>
              <w:pStyle w:val="12"/>
            </w:pPr>
            <w:r>
              <w:t>127479.66</w:t>
            </w:r>
          </w:p>
        </w:tc>
        <w:tc>
          <w:tcPr>
            <w:tcW w:w="1361" w:type="dxa"/>
            <w:vAlign w:val="center"/>
          </w:tcPr>
          <w:p>
            <w:pPr>
              <w:pStyle w:val="12"/>
            </w:pPr>
          </w:p>
        </w:tc>
        <w:tc>
          <w:tcPr>
            <w:tcW w:w="1361" w:type="dxa"/>
            <w:vAlign w:val="center"/>
          </w:tcPr>
          <w:p>
            <w:pPr>
              <w:pStyle w:val="12"/>
            </w:pPr>
            <w:r>
              <w:t>127479.66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6953496.37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6960976.03</w:t>
            </w:r>
          </w:p>
        </w:tc>
        <w:tc>
          <w:tcPr>
            <w:tcW w:w="1474" w:type="dxa"/>
            <w:vAlign w:val="center"/>
          </w:tcPr>
          <w:p>
            <w:pPr>
              <w:pStyle w:val="12"/>
            </w:pPr>
            <w:r>
              <w:t>6960976.03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6953496.37</w:t>
            </w:r>
          </w:p>
        </w:tc>
        <w:tc>
          <w:tcPr>
            <w:tcW w:w="3402" w:type="dxa"/>
            <w:vAlign w:val="center"/>
          </w:tcPr>
          <w:p>
            <w:pPr>
              <w:pStyle w:val="15"/>
            </w:pPr>
            <w:r>
              <w:t>本年支出合计</w:t>
            </w:r>
          </w:p>
        </w:tc>
        <w:tc>
          <w:tcPr>
            <w:tcW w:w="1474" w:type="dxa"/>
            <w:vAlign w:val="center"/>
          </w:tcPr>
          <w:p>
            <w:pPr>
              <w:pStyle w:val="16"/>
            </w:pPr>
            <w:r>
              <w:t>6960976.03</w:t>
            </w:r>
          </w:p>
        </w:tc>
        <w:tc>
          <w:tcPr>
            <w:tcW w:w="1474" w:type="dxa"/>
            <w:vAlign w:val="center"/>
          </w:tcPr>
          <w:p>
            <w:pPr>
              <w:pStyle w:val="16"/>
            </w:pPr>
            <w:r>
              <w:t>6960976.03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7479.66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7479.66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6960976.03</w:t>
            </w:r>
          </w:p>
        </w:tc>
        <w:tc>
          <w:tcPr>
            <w:tcW w:w="3402" w:type="dxa"/>
            <w:vAlign w:val="center"/>
          </w:tcPr>
          <w:p>
            <w:pPr>
              <w:pStyle w:val="15"/>
            </w:pPr>
            <w:r>
              <w:t>支出总计</w:t>
            </w:r>
          </w:p>
        </w:tc>
        <w:tc>
          <w:tcPr>
            <w:tcW w:w="1474" w:type="dxa"/>
            <w:vAlign w:val="center"/>
          </w:tcPr>
          <w:p>
            <w:pPr>
              <w:pStyle w:val="16"/>
            </w:pPr>
            <w:r>
              <w:t>6960976.03</w:t>
            </w:r>
          </w:p>
        </w:tc>
        <w:tc>
          <w:tcPr>
            <w:tcW w:w="1474" w:type="dxa"/>
            <w:vAlign w:val="center"/>
          </w:tcPr>
          <w:p>
            <w:pPr>
              <w:pStyle w:val="16"/>
            </w:pPr>
            <w:r>
              <w:t>6960976.03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6960976.03</w:t>
            </w:r>
          </w:p>
        </w:tc>
        <w:tc>
          <w:tcPr>
            <w:tcW w:w="2551" w:type="dxa"/>
            <w:vAlign w:val="center"/>
          </w:tcPr>
          <w:p>
            <w:pPr>
              <w:pStyle w:val="16"/>
            </w:pPr>
            <w:r>
              <w:t>6683496.37</w:t>
            </w:r>
          </w:p>
        </w:tc>
        <w:tc>
          <w:tcPr>
            <w:tcW w:w="2551" w:type="dxa"/>
            <w:vAlign w:val="center"/>
          </w:tcPr>
          <w:p>
            <w:pPr>
              <w:pStyle w:val="16"/>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6960976.03</w:t>
            </w:r>
          </w:p>
        </w:tc>
        <w:tc>
          <w:tcPr>
            <w:tcW w:w="2551" w:type="dxa"/>
            <w:vAlign w:val="center"/>
          </w:tcPr>
          <w:p>
            <w:pPr>
              <w:pStyle w:val="12"/>
            </w:pPr>
            <w:r>
              <w:t>6683496.37</w:t>
            </w:r>
          </w:p>
        </w:tc>
        <w:tc>
          <w:tcPr>
            <w:tcW w:w="2551" w:type="dxa"/>
            <w:vAlign w:val="center"/>
          </w:tcPr>
          <w:p>
            <w:pPr>
              <w:pStyle w:val="12"/>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6960976.03</w:t>
            </w:r>
          </w:p>
        </w:tc>
        <w:tc>
          <w:tcPr>
            <w:tcW w:w="2551" w:type="dxa"/>
            <w:vAlign w:val="center"/>
          </w:tcPr>
          <w:p>
            <w:pPr>
              <w:pStyle w:val="12"/>
            </w:pPr>
            <w:r>
              <w:t>6683496.37</w:t>
            </w:r>
          </w:p>
        </w:tc>
        <w:tc>
          <w:tcPr>
            <w:tcW w:w="2551" w:type="dxa"/>
            <w:vAlign w:val="center"/>
          </w:tcPr>
          <w:p>
            <w:pPr>
              <w:pStyle w:val="12"/>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2080109</w:t>
            </w:r>
          </w:p>
        </w:tc>
        <w:tc>
          <w:tcPr>
            <w:tcW w:w="4535" w:type="dxa"/>
            <w:vAlign w:val="center"/>
          </w:tcPr>
          <w:p>
            <w:pPr>
              <w:pStyle w:val="13"/>
            </w:pPr>
            <w:r>
              <w:t>社会保险经办机构</w:t>
            </w:r>
          </w:p>
        </w:tc>
        <w:tc>
          <w:tcPr>
            <w:tcW w:w="2551" w:type="dxa"/>
            <w:vAlign w:val="center"/>
          </w:tcPr>
          <w:p>
            <w:pPr>
              <w:pStyle w:val="12"/>
            </w:pPr>
            <w:r>
              <w:t>6833496.37</w:t>
            </w:r>
          </w:p>
        </w:tc>
        <w:tc>
          <w:tcPr>
            <w:tcW w:w="2551" w:type="dxa"/>
            <w:vAlign w:val="center"/>
          </w:tcPr>
          <w:p>
            <w:pPr>
              <w:pStyle w:val="12"/>
            </w:pPr>
            <w:r>
              <w:t>6683496.37</w:t>
            </w:r>
          </w:p>
        </w:tc>
        <w:tc>
          <w:tcPr>
            <w:tcW w:w="2551"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2080199</w:t>
            </w:r>
          </w:p>
        </w:tc>
        <w:tc>
          <w:tcPr>
            <w:tcW w:w="4535" w:type="dxa"/>
            <w:vAlign w:val="center"/>
          </w:tcPr>
          <w:p>
            <w:pPr>
              <w:pStyle w:val="13"/>
            </w:pPr>
            <w:r>
              <w:t>其他人力资源和社会保障管理事务支出</w:t>
            </w:r>
          </w:p>
        </w:tc>
        <w:tc>
          <w:tcPr>
            <w:tcW w:w="2551" w:type="dxa"/>
            <w:vAlign w:val="center"/>
          </w:tcPr>
          <w:p>
            <w:pPr>
              <w:pStyle w:val="12"/>
            </w:pPr>
            <w:r>
              <w:t>127479.66</w:t>
            </w:r>
          </w:p>
        </w:tc>
        <w:tc>
          <w:tcPr>
            <w:tcW w:w="2551" w:type="dxa"/>
            <w:vAlign w:val="center"/>
          </w:tcPr>
          <w:p>
            <w:pPr>
              <w:pStyle w:val="12"/>
            </w:pPr>
          </w:p>
        </w:tc>
        <w:tc>
          <w:tcPr>
            <w:tcW w:w="2551" w:type="dxa"/>
            <w:vAlign w:val="center"/>
          </w:tcPr>
          <w:p>
            <w:pPr>
              <w:pStyle w:val="12"/>
            </w:pPr>
            <w:r>
              <w:t>127479.66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6683496.37</w:t>
            </w:r>
          </w:p>
        </w:tc>
        <w:tc>
          <w:tcPr>
            <w:tcW w:w="2551" w:type="dxa"/>
            <w:vAlign w:val="center"/>
          </w:tcPr>
          <w:p>
            <w:pPr>
              <w:pStyle w:val="16"/>
            </w:pPr>
            <w:r>
              <w:t>6489946.37</w:t>
            </w:r>
          </w:p>
        </w:tc>
        <w:tc>
          <w:tcPr>
            <w:tcW w:w="2551" w:type="dxa"/>
            <w:vAlign w:val="center"/>
          </w:tcPr>
          <w:p>
            <w:pPr>
              <w:pStyle w:val="16"/>
            </w:pPr>
            <w:r>
              <w:t>193550.00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6304839.17</w:t>
            </w:r>
          </w:p>
        </w:tc>
        <w:tc>
          <w:tcPr>
            <w:tcW w:w="2551" w:type="dxa"/>
            <w:vAlign w:val="center"/>
          </w:tcPr>
          <w:p>
            <w:pPr>
              <w:pStyle w:val="12"/>
            </w:pPr>
            <w:r>
              <w:t>6304839.17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2267224.42</w:t>
            </w:r>
          </w:p>
        </w:tc>
        <w:tc>
          <w:tcPr>
            <w:tcW w:w="2551" w:type="dxa"/>
            <w:vAlign w:val="center"/>
          </w:tcPr>
          <w:p>
            <w:pPr>
              <w:pStyle w:val="12"/>
            </w:pPr>
            <w:r>
              <w:t>2267224.42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216720.00</w:t>
            </w:r>
          </w:p>
        </w:tc>
        <w:tc>
          <w:tcPr>
            <w:tcW w:w="2551" w:type="dxa"/>
            <w:vAlign w:val="center"/>
          </w:tcPr>
          <w:p>
            <w:pPr>
              <w:pStyle w:val="12"/>
            </w:pPr>
            <w:r>
              <w:t>216720.00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1958833.57</w:t>
            </w:r>
          </w:p>
        </w:tc>
        <w:tc>
          <w:tcPr>
            <w:tcW w:w="2551" w:type="dxa"/>
            <w:vAlign w:val="center"/>
          </w:tcPr>
          <w:p>
            <w:pPr>
              <w:pStyle w:val="12"/>
            </w:pPr>
            <w:r>
              <w:t>1958833.57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646058.65</w:t>
            </w:r>
          </w:p>
        </w:tc>
        <w:tc>
          <w:tcPr>
            <w:tcW w:w="2551" w:type="dxa"/>
            <w:vAlign w:val="center"/>
          </w:tcPr>
          <w:p>
            <w:pPr>
              <w:pStyle w:val="12"/>
            </w:pPr>
            <w:r>
              <w:t>646058.65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343479.83</w:t>
            </w:r>
          </w:p>
        </w:tc>
        <w:tc>
          <w:tcPr>
            <w:tcW w:w="2551" w:type="dxa"/>
            <w:vAlign w:val="center"/>
          </w:tcPr>
          <w:p>
            <w:pPr>
              <w:pStyle w:val="12"/>
            </w:pPr>
            <w:r>
              <w:t>343479.83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296539.09</w:t>
            </w:r>
          </w:p>
        </w:tc>
        <w:tc>
          <w:tcPr>
            <w:tcW w:w="2551" w:type="dxa"/>
            <w:vAlign w:val="center"/>
          </w:tcPr>
          <w:p>
            <w:pPr>
              <w:pStyle w:val="12"/>
            </w:pPr>
            <w:r>
              <w:t>296539.09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74134.78</w:t>
            </w:r>
          </w:p>
        </w:tc>
        <w:tc>
          <w:tcPr>
            <w:tcW w:w="2551" w:type="dxa"/>
            <w:vAlign w:val="center"/>
          </w:tcPr>
          <w:p>
            <w:pPr>
              <w:pStyle w:val="12"/>
            </w:pPr>
            <w:r>
              <w:t>74134.78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501848.83</w:t>
            </w:r>
          </w:p>
        </w:tc>
        <w:tc>
          <w:tcPr>
            <w:tcW w:w="2551" w:type="dxa"/>
            <w:vAlign w:val="center"/>
          </w:tcPr>
          <w:p>
            <w:pPr>
              <w:pStyle w:val="12"/>
            </w:pPr>
            <w:r>
              <w:t>501848.83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193550.00</w:t>
            </w:r>
          </w:p>
        </w:tc>
        <w:tc>
          <w:tcPr>
            <w:tcW w:w="2551" w:type="dxa"/>
            <w:vAlign w:val="center"/>
          </w:tcPr>
          <w:p>
            <w:pPr>
              <w:pStyle w:val="12"/>
            </w:pPr>
          </w:p>
        </w:tc>
        <w:tc>
          <w:tcPr>
            <w:tcW w:w="2551" w:type="dxa"/>
            <w:vAlign w:val="center"/>
          </w:tcPr>
          <w:p>
            <w:pPr>
              <w:pStyle w:val="12"/>
            </w:pPr>
            <w:r>
              <w:t>193550.00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24500.00</w:t>
            </w:r>
          </w:p>
        </w:tc>
        <w:tc>
          <w:tcPr>
            <w:tcW w:w="2551" w:type="dxa"/>
            <w:vAlign w:val="center"/>
          </w:tcPr>
          <w:p>
            <w:pPr>
              <w:pStyle w:val="12"/>
            </w:pPr>
          </w:p>
        </w:tc>
        <w:tc>
          <w:tcPr>
            <w:tcW w:w="2551" w:type="dxa"/>
            <w:vAlign w:val="center"/>
          </w:tcPr>
          <w:p>
            <w:pPr>
              <w:pStyle w:val="12"/>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24500.00</w:t>
            </w:r>
          </w:p>
        </w:tc>
        <w:tc>
          <w:tcPr>
            <w:tcW w:w="2551" w:type="dxa"/>
            <w:vAlign w:val="center"/>
          </w:tcPr>
          <w:p>
            <w:pPr>
              <w:pStyle w:val="12"/>
            </w:pPr>
          </w:p>
        </w:tc>
        <w:tc>
          <w:tcPr>
            <w:tcW w:w="2551" w:type="dxa"/>
            <w:vAlign w:val="center"/>
          </w:tcPr>
          <w:p>
            <w:pPr>
              <w:pStyle w:val="12"/>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2450.00</w:t>
            </w:r>
          </w:p>
        </w:tc>
        <w:tc>
          <w:tcPr>
            <w:tcW w:w="2551" w:type="dxa"/>
            <w:vAlign w:val="center"/>
          </w:tcPr>
          <w:p>
            <w:pPr>
              <w:pStyle w:val="12"/>
            </w:pPr>
          </w:p>
        </w:tc>
        <w:tc>
          <w:tcPr>
            <w:tcW w:w="2551" w:type="dxa"/>
            <w:vAlign w:val="center"/>
          </w:tcPr>
          <w:p>
            <w:pPr>
              <w:pStyle w:val="12"/>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39200.00</w:t>
            </w:r>
          </w:p>
        </w:tc>
        <w:tc>
          <w:tcPr>
            <w:tcW w:w="2551" w:type="dxa"/>
            <w:vAlign w:val="center"/>
          </w:tcPr>
          <w:p>
            <w:pPr>
              <w:pStyle w:val="12"/>
            </w:pPr>
          </w:p>
        </w:tc>
        <w:tc>
          <w:tcPr>
            <w:tcW w:w="2551" w:type="dxa"/>
            <w:vAlign w:val="center"/>
          </w:tcPr>
          <w:p>
            <w:pPr>
              <w:pStyle w:val="12"/>
            </w:pPr>
            <w: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49000.00</w:t>
            </w:r>
          </w:p>
        </w:tc>
        <w:tc>
          <w:tcPr>
            <w:tcW w:w="2551" w:type="dxa"/>
            <w:vAlign w:val="center"/>
          </w:tcPr>
          <w:p>
            <w:pPr>
              <w:pStyle w:val="12"/>
            </w:pPr>
          </w:p>
        </w:tc>
        <w:tc>
          <w:tcPr>
            <w:tcW w:w="2551" w:type="dxa"/>
            <w:vAlign w:val="center"/>
          </w:tcPr>
          <w:p>
            <w:pPr>
              <w:pStyle w:val="12"/>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18900.00</w:t>
            </w:r>
          </w:p>
        </w:tc>
        <w:tc>
          <w:tcPr>
            <w:tcW w:w="2551" w:type="dxa"/>
            <w:vAlign w:val="center"/>
          </w:tcPr>
          <w:p>
            <w:pPr>
              <w:pStyle w:val="12"/>
            </w:pPr>
          </w:p>
        </w:tc>
        <w:tc>
          <w:tcPr>
            <w:tcW w:w="2551" w:type="dxa"/>
            <w:vAlign w:val="center"/>
          </w:tcPr>
          <w:p>
            <w:pPr>
              <w:pStyle w:val="12"/>
            </w:pPr>
            <w:r>
              <w:t>18900.00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185107.20</w:t>
            </w:r>
          </w:p>
        </w:tc>
        <w:tc>
          <w:tcPr>
            <w:tcW w:w="2551" w:type="dxa"/>
            <w:vAlign w:val="center"/>
          </w:tcPr>
          <w:p>
            <w:pPr>
              <w:pStyle w:val="12"/>
            </w:pPr>
            <w:r>
              <w:t>185107.20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183427.20</w:t>
            </w:r>
          </w:p>
        </w:tc>
        <w:tc>
          <w:tcPr>
            <w:tcW w:w="2551" w:type="dxa"/>
            <w:vAlign w:val="center"/>
          </w:tcPr>
          <w:p>
            <w:pPr>
              <w:pStyle w:val="12"/>
            </w:pPr>
            <w:r>
              <w:t>183427.20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1680.00</w:t>
            </w:r>
          </w:p>
        </w:tc>
        <w:tc>
          <w:tcPr>
            <w:tcW w:w="2551" w:type="dxa"/>
            <w:vAlign w:val="center"/>
          </w:tcPr>
          <w:p>
            <w:pPr>
              <w:pStyle w:val="12"/>
            </w:pPr>
            <w:r>
              <w:t>1680.00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326玉田县社会保险服务中心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玉田县社会保险服务中心2024年部门预算信息公开情况说明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玉田县社会保险服务中心2024年部门预算信息公开情况说明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按照《中华人民共和国预算法》、《地方预决算公开操作规程》和《关于进一步推进预算公开工作的实施意见》规定，现将玉田县社会保险服务中心2024年部门预算公开如下：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 门 职 责</w:t>
      </w:r>
    </w:p>
    <w:p>
      <w:pPr>
        <w:pStyle w:val="18"/>
      </w:pPr>
    </w:p>
    <w:p>
      <w:pPr>
        <w:pStyle w:val="18"/>
      </w:pPr>
      <w:r>
        <w:t>根据《玉田县社会保险服务中心职能配置、内设机构和人员编制规定》，玉田县社会保险服务中心的主要职责是：</w:t>
      </w:r>
    </w:p>
    <w:p>
      <w:pPr>
        <w:pStyle w:val="18"/>
      </w:pPr>
      <w:r>
        <w:t>部 门 职 责</w:t>
      </w:r>
    </w:p>
    <w:p>
      <w:pPr>
        <w:pStyle w:val="18"/>
      </w:pPr>
    </w:p>
    <w:p>
      <w:pPr>
        <w:pStyle w:val="18"/>
      </w:pPr>
      <w:r>
        <w:t>加大宣传力度，扩大各基金险种基本养老保险覆盖面,贯彻《中华人民共和国</w:t>
      </w:r>
      <w:bookmarkStart w:id="20" w:name="_GoBack"/>
      <w:bookmarkEnd w:id="20"/>
      <w:r>
        <w:t>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18"/>
      </w:pPr>
      <w:r>
        <w:t>继续开展以工伤保险待遇支付为重点的稽核工作，将养老保险缴费人数与工伤保险缴费人数挂钩，纳入稽核工作内容，进一步加大养老保险、工伤保险扩面力度，力争工伤保险全覆盖。</w:t>
      </w:r>
    </w:p>
    <w:p>
      <w:pPr>
        <w:pStyle w:val="18"/>
      </w:pPr>
      <w:r>
        <w:t>为确保养老金及时足额发放，积极向省、市、县部门申请养老保险调剂金级财政补助收入。</w:t>
      </w:r>
    </w:p>
    <w:p>
      <w:pPr>
        <w:pStyle w:val="18"/>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18"/>
      </w:pPr>
      <w:r>
        <w:t>养老、失业、工伤、城乡居民保险费依法依规、按时足额征缴，保险待遇按时足额支付，完成省市县各级主管部门下达的任务目标。</w:t>
      </w:r>
    </w:p>
    <w:p>
      <w:pPr>
        <w:pStyle w:val="18"/>
      </w:pPr>
      <w:r>
        <w:t>根据《玉田县社会保险服务中心职能配置、内设机构和人员编制规定》， 玉田县社会保险事业局的主要职责是：</w:t>
      </w:r>
    </w:p>
    <w:p>
      <w:pPr>
        <w:pStyle w:val="18"/>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pPr>
        <w:pStyle w:val="18"/>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18"/>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玉田县社会保险服务中心本级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按照预算管理有关规定，目前部门预算的编制实行综合预算管理，即全部收入和支出都反映在预算中。玉田县社会保险服务中心机关及所属事业单位的收支包含在部门预算中。</w:t>
      </w:r>
    </w:p>
    <w:p>
      <w:pPr>
        <w:pStyle w:val="19"/>
      </w:pPr>
      <w:r>
        <w:t>1、收入说明</w:t>
      </w:r>
    </w:p>
    <w:p>
      <w:pPr>
        <w:pStyle w:val="19"/>
      </w:pPr>
      <w:r>
        <w:t>反映本部门当年全部收入。2024年预算收入696</w:t>
      </w:r>
      <w:r>
        <w:rPr>
          <w:rFonts w:hint="eastAsia"/>
          <w:lang w:val="en-US" w:eastAsia="zh-CN"/>
        </w:rPr>
        <w:t>.10</w:t>
      </w:r>
      <w:r>
        <w:t>万元，其中：一般公共预算收入695</w:t>
      </w:r>
      <w:r>
        <w:rPr>
          <w:rFonts w:hint="eastAsia"/>
          <w:lang w:val="en-US" w:eastAsia="zh-CN"/>
        </w:rPr>
        <w:t>.</w:t>
      </w:r>
      <w:r>
        <w:t>3</w:t>
      </w:r>
      <w:r>
        <w:rPr>
          <w:rFonts w:hint="eastAsia"/>
          <w:lang w:val="en-US" w:eastAsia="zh-CN"/>
        </w:rPr>
        <w:t>5</w:t>
      </w:r>
      <w:r>
        <w:t>万元，基金预算收入0.00万元，国有资本经营预算收入0.00万元，财政专户核拨收入0.00万元，单位资金收入0.00万元，上年结转结余</w:t>
      </w:r>
      <w:r>
        <w:rPr>
          <w:rFonts w:hint="eastAsia"/>
          <w:lang w:val="en-US" w:eastAsia="zh-CN"/>
        </w:rPr>
        <w:t>0.</w:t>
      </w:r>
      <w:r>
        <w:t>7</w:t>
      </w:r>
      <w:r>
        <w:rPr>
          <w:rFonts w:hint="eastAsia"/>
          <w:lang w:val="en-US" w:eastAsia="zh-CN"/>
        </w:rPr>
        <w:t>5</w:t>
      </w:r>
      <w:r>
        <w:t>万元。</w:t>
      </w:r>
    </w:p>
    <w:p>
      <w:pPr>
        <w:pStyle w:val="19"/>
      </w:pPr>
      <w:r>
        <w:t>2、支出说明</w:t>
      </w:r>
    </w:p>
    <w:p>
      <w:pPr>
        <w:pStyle w:val="19"/>
      </w:pPr>
      <w:r>
        <w:t>收支预算总表支出栏、基本支出表、项目支出表按经济分类和支出功能分类科目编制，反映玉田县社会保险服务中心年度部门预算中支出预算的总体情况。2024年支出预算696</w:t>
      </w:r>
      <w:r>
        <w:rPr>
          <w:rFonts w:hint="eastAsia"/>
          <w:lang w:val="en-US" w:eastAsia="zh-CN"/>
        </w:rPr>
        <w:t>.10</w:t>
      </w:r>
      <w:r>
        <w:t>万元，其中基本支出668</w:t>
      </w:r>
      <w:r>
        <w:rPr>
          <w:rFonts w:hint="eastAsia"/>
          <w:lang w:val="en-US" w:eastAsia="zh-CN"/>
        </w:rPr>
        <w:t>.35</w:t>
      </w:r>
      <w:r>
        <w:t>万元，包括人员经费648</w:t>
      </w:r>
      <w:r>
        <w:rPr>
          <w:rFonts w:hint="eastAsia"/>
          <w:lang w:val="en-US" w:eastAsia="zh-CN"/>
        </w:rPr>
        <w:t>.</w:t>
      </w:r>
      <w:r>
        <w:t>99万元和日常公用经费19</w:t>
      </w:r>
      <w:r>
        <w:rPr>
          <w:rFonts w:hint="eastAsia"/>
          <w:lang w:val="en-US" w:eastAsia="zh-CN"/>
        </w:rPr>
        <w:t>.</w:t>
      </w:r>
      <w:r>
        <w:t>3</w:t>
      </w:r>
      <w:r>
        <w:rPr>
          <w:rFonts w:hint="eastAsia"/>
          <w:lang w:val="en-US" w:eastAsia="zh-CN"/>
        </w:rPr>
        <w:t>6</w:t>
      </w:r>
      <w:r>
        <w:t>万元；项目支出27</w:t>
      </w:r>
      <w:r>
        <w:rPr>
          <w:rFonts w:hint="eastAsia"/>
          <w:lang w:val="en-US" w:eastAsia="zh-CN"/>
        </w:rPr>
        <w:t>.</w:t>
      </w:r>
      <w:r>
        <w:t>7</w:t>
      </w:r>
      <w:r>
        <w:rPr>
          <w:rFonts w:hint="eastAsia"/>
          <w:lang w:val="en-US" w:eastAsia="zh-CN"/>
        </w:rPr>
        <w:t>5</w:t>
      </w:r>
      <w:r>
        <w:t>万元，主要为项目支出为确保经办机构正常运转的15万元专项业务费和省级城乡居民养老保险代办员补助资金12.75万元。</w:t>
      </w:r>
    </w:p>
    <w:p>
      <w:pPr>
        <w:pStyle w:val="19"/>
      </w:pPr>
      <w:r>
        <w:t>3、比上年增减情况</w:t>
      </w:r>
    </w:p>
    <w:p>
      <w:pPr>
        <w:pStyle w:val="19"/>
      </w:pPr>
      <w:r>
        <w:t>2024年预算收支安排696</w:t>
      </w:r>
      <w:r>
        <w:rPr>
          <w:rFonts w:hint="eastAsia"/>
          <w:lang w:val="en-US" w:eastAsia="zh-CN"/>
        </w:rPr>
        <w:t>.10</w:t>
      </w:r>
      <w:r>
        <w:t>万元，较2023年预算减少49183</w:t>
      </w:r>
      <w:r>
        <w:rPr>
          <w:rFonts w:hint="eastAsia"/>
          <w:lang w:val="en-US" w:eastAsia="zh-CN"/>
        </w:rPr>
        <w:t>.</w:t>
      </w:r>
      <w:r>
        <w:t>3</w:t>
      </w:r>
      <w:r>
        <w:rPr>
          <w:rFonts w:hint="eastAsia"/>
          <w:lang w:val="en-US" w:eastAsia="zh-CN"/>
        </w:rPr>
        <w:t>5</w:t>
      </w:r>
      <w:r>
        <w:t>万元，其中：基本支出增加8</w:t>
      </w:r>
      <w:r>
        <w:rPr>
          <w:rFonts w:hint="eastAsia"/>
          <w:lang w:val="en-US" w:eastAsia="zh-CN"/>
        </w:rPr>
        <w:t>.</w:t>
      </w:r>
      <w:r>
        <w:t>9</w:t>
      </w:r>
      <w:r>
        <w:rPr>
          <w:rFonts w:hint="eastAsia"/>
          <w:lang w:val="en-US" w:eastAsia="zh-CN"/>
        </w:rPr>
        <w:t>5</w:t>
      </w:r>
      <w:r>
        <w:t>万元，主要为工资提高，社会保险费缴纳增加，退休人员增多，生活补贴增加。项目支出减少49192</w:t>
      </w:r>
      <w:r>
        <w:rPr>
          <w:rFonts w:hint="eastAsia"/>
          <w:lang w:val="en-US" w:eastAsia="zh-CN"/>
        </w:rPr>
        <w:t>.</w:t>
      </w:r>
      <w:r>
        <w:t>29万元，主要为社会保险基金各级财政补助资金按照规定不能列入事业收支，不再列入部门经费。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2024年，我部门机关运行经费共计安排19</w:t>
      </w:r>
      <w:r>
        <w:rPr>
          <w:rFonts w:hint="eastAsia"/>
          <w:lang w:val="en-US" w:eastAsia="zh-CN"/>
        </w:rPr>
        <w:t>.</w:t>
      </w:r>
      <w:r>
        <w:t>3</w:t>
      </w:r>
      <w:r>
        <w:rPr>
          <w:rFonts w:hint="eastAsia"/>
          <w:lang w:val="en-US" w:eastAsia="zh-CN"/>
        </w:rPr>
        <w:t>6</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w:t>
      </w:r>
      <w:r>
        <w:rPr>
          <w:rFonts w:hint="eastAsia"/>
          <w:lang w:val="en-US" w:eastAsia="zh-CN"/>
        </w:rPr>
        <w:t>.</w:t>
      </w:r>
      <w:r>
        <w:t>30万元，其中因公出国（境）费0.00万元；公务用车购置及运维费2</w:t>
      </w:r>
      <w:r>
        <w:rPr>
          <w:rFonts w:hint="eastAsia"/>
          <w:lang w:val="en-US" w:eastAsia="zh-CN"/>
        </w:rPr>
        <w:t>.</w:t>
      </w:r>
      <w:r>
        <w:t>30万元（其中：公务用车购置费为0.00万元，公务用车运维费2</w:t>
      </w:r>
      <w:r>
        <w:rPr>
          <w:rFonts w:hint="eastAsia"/>
          <w:lang w:val="en-US" w:eastAsia="zh-CN"/>
        </w:rPr>
        <w:t>.</w:t>
      </w:r>
      <w:r>
        <w:t>30万元)；公务接待费0.00万元。与2023年相比增加0.00万元，增减变化的主要原因是我单位三公经费无变化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2"/>
      </w:pPr>
      <w:r>
        <w:t>继续开展以工伤保险待遇支付为重点的稽核工作，将养老保险缴费人数与工伤保险缴费人数挂钩，纳入稽核工作内容，进一步加大养老保险、工伤保险扩面力度，力争工伤保险全覆盖。</w:t>
      </w:r>
    </w:p>
    <w:p>
      <w:pPr>
        <w:pStyle w:val="22"/>
      </w:pPr>
      <w:r>
        <w:t>为确保养老金及时足额发放，积极向省、市、县部门申请养老保险调剂金级财政补助收入。</w:t>
      </w:r>
    </w:p>
    <w:p>
      <w:pPr>
        <w:pStyle w:val="22"/>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22"/>
      </w:pPr>
      <w:r>
        <w:t>养老、失业、工伤、城乡居民保险费依法依规、按时足额征缴，保险待遇按时足额支付，完成省市县各级主管部门下达的任务目标。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一、项目分项绩效目标</w:t>
      </w:r>
    </w:p>
    <w:p>
      <w:pPr>
        <w:pStyle w:val="23"/>
      </w:pPr>
      <w:r>
        <w:t>1、“省级城乡居民养老村级代办员补助”项目年初预算安排12.75万元，其中2023年结转0.75万元，2024年12万元。项目主要目标为补助城乡居民养老保险村级代办员，确保城乡居民养老保险基层经办工作顺利开展。</w:t>
      </w:r>
    </w:p>
    <w:p>
      <w:pPr>
        <w:pStyle w:val="23"/>
      </w:pPr>
      <w:r>
        <w:t>2、“专项业务费”项目年初预算排15万元，项目主要目标为保障社会保险经办机构工作正常开展的补助资金。</w:t>
      </w:r>
    </w:p>
    <w:p>
      <w:pPr>
        <w:pStyle w:val="23"/>
      </w:pPr>
      <w:r>
        <w:t>二、人员经费绩效目标</w:t>
      </w:r>
    </w:p>
    <w:p>
      <w:pPr>
        <w:pStyle w:val="23"/>
      </w:pPr>
      <w:r>
        <w:t>人员经费年初预算安排695.35万元，项目主要目标为保障单位在职人员工资正常发放、保险正常缴纳，福利待遇正常享受。</w:t>
      </w:r>
    </w:p>
    <w:p>
      <w:pPr>
        <w:pStyle w:val="23"/>
      </w:pPr>
      <w:r>
        <w:t>三、日常公用经费绩效目标</w:t>
      </w:r>
    </w:p>
    <w:p>
      <w:pPr>
        <w:pStyle w:val="23"/>
      </w:pPr>
      <w:r>
        <w:t>日常公用经费年初预算安排19.36万元，此项目标主要为保障机关各项工作正常运行。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一、严格按照《中华人民共和国社会保险法》和社会保险经办规程开展各项基金的收支业务</w:t>
      </w:r>
    </w:p>
    <w:p>
      <w:pPr>
        <w:pStyle w:val="24"/>
      </w:pPr>
      <w:r>
        <w:t>二、各基金险种严格按照指标文件标准进行拨款和使用</w:t>
      </w:r>
    </w:p>
    <w:p>
      <w:pPr>
        <w:pStyle w:val="24"/>
      </w:pPr>
      <w:r>
        <w:t>三、加强内部监督，定期开展自查</w:t>
      </w:r>
    </w:p>
    <w:p>
      <w:pPr>
        <w:pStyle w:val="24"/>
      </w:pPr>
      <w:r>
        <w:t>四、配合省市定期基金检查，发现问题及时整改</w:t>
      </w:r>
    </w:p>
    <w:p>
      <w:pPr>
        <w:pStyle w:val="24"/>
      </w:pPr>
      <w:r>
        <w:t>五、严格落实内控制度、审批制度</w:t>
      </w:r>
    </w:p>
    <w:p>
      <w:pPr>
        <w:pStyle w:val="24"/>
      </w:pPr>
      <w:r>
        <w:t>六、严格按照岗位权限设置进行工作，定期轮岗</w:t>
      </w:r>
    </w:p>
    <w:p>
      <w:pPr>
        <w:pStyle w:val="24"/>
      </w:pPr>
      <w:r>
        <w:t>七、加大宣传力度，扩大企业基本养老保险覆盖面。贯彻《中华人民共和国社会保险法》，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24"/>
      </w:pPr>
      <w:r>
        <w:t>八继续开展以工伤保险待遇支付为重点的稽核工作，将养老保险缴费人数与工伤保险缴费人数挂钩，纳入稽核工作内容，进一步加大养老保险、工伤保险扩面力度，力争工伤保险全覆盖。　　</w:t>
      </w:r>
    </w:p>
    <w:p>
      <w:pPr>
        <w:pStyle w:val="24"/>
      </w:pPr>
      <w:r>
        <w:t>九确保企业养老、失业、工伤保险“三险合一”软件的正常运转，做好基金征缴工作。养老、失业、工伤、城乡居民保险费依法依规、按时足额征缴，完成省市县各级主管部门下达的任务目标。</w:t>
      </w:r>
    </w:p>
    <w:p>
      <w:pPr>
        <w:pStyle w:val="24"/>
      </w:pPr>
      <w:r>
        <w:t>十发放相关待遇时，严格审核企业以及待遇领取人上报的相关材料，严格履行审批手续，确保各项待遇发放及时、规范。</w:t>
      </w:r>
    </w:p>
    <w:p>
      <w:pPr>
        <w:pStyle w:val="24"/>
        <w:sectPr>
          <w:pgSz w:w="16840" w:h="11900" w:orient="landscape"/>
          <w:pgMar w:top="1361" w:right="1020" w:bottom="1361" w:left="1020" w:header="720" w:footer="720" w:gutter="0"/>
          <w:cols w:space="720" w:num="1"/>
        </w:sectPr>
      </w:pPr>
      <w:r>
        <w:t>十一按照上级要求和我局工作计划做好相关待遇领取人员资格认证工作，使离退休人员足不出户就可完成生存认证,坚决杜绝冒领社会保险待遇现象的发生。</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1、冀财社[2022]174号2023年省级城乡居民社会保险代办员补助资金绩效目标表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13022923P000BR010630R</w:t>
            </w:r>
          </w:p>
        </w:tc>
        <w:tc>
          <w:tcPr>
            <w:tcW w:w="2835" w:type="dxa"/>
            <w:vAlign w:val="center"/>
          </w:tcPr>
          <w:p>
            <w:pPr>
              <w:pStyle w:val="11"/>
            </w:pPr>
            <w:r>
              <w:t>项目名称</w:t>
            </w:r>
          </w:p>
        </w:tc>
        <w:tc>
          <w:tcPr>
            <w:tcW w:w="6094" w:type="dxa"/>
            <w:gridSpan w:val="3"/>
            <w:vAlign w:val="center"/>
          </w:tcPr>
          <w:p>
            <w:pPr>
              <w:pStyle w:val="13"/>
            </w:pPr>
            <w:r>
              <w:t>冀财社[2022]174号2023年省级城乡居民社会保险代办员补助资金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7479.66</w:t>
            </w:r>
          </w:p>
        </w:tc>
        <w:tc>
          <w:tcPr>
            <w:tcW w:w="2835" w:type="dxa"/>
            <w:vAlign w:val="center"/>
          </w:tcPr>
          <w:p>
            <w:pPr>
              <w:pStyle w:val="11"/>
            </w:pPr>
            <w:r>
              <w:t>其中：财政    资金</w:t>
            </w:r>
          </w:p>
        </w:tc>
        <w:tc>
          <w:tcPr>
            <w:tcW w:w="2551" w:type="dxa"/>
            <w:vAlign w:val="center"/>
          </w:tcPr>
          <w:p>
            <w:pPr>
              <w:pStyle w:val="13"/>
            </w:pPr>
            <w:r>
              <w:t>7479.66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城乡居民社会养老保险村级代办员补助资金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按时完成征缴任务</w:t>
            </w:r>
          </w:p>
        </w:tc>
        <w:tc>
          <w:tcPr>
            <w:tcW w:w="2268" w:type="dxa"/>
            <w:vAlign w:val="center"/>
          </w:tcPr>
          <w:p>
            <w:pPr>
              <w:pStyle w:val="13"/>
            </w:pPr>
            <w:r>
              <w:t>100征缴期区间</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补助资金及时拨付</w:t>
            </w:r>
          </w:p>
        </w:tc>
        <w:tc>
          <w:tcPr>
            <w:tcW w:w="2268" w:type="dxa"/>
            <w:vAlign w:val="center"/>
          </w:tcPr>
          <w:p>
            <w:pPr>
              <w:pStyle w:val="13"/>
            </w:pPr>
            <w:r>
              <w:t>100征缴结束后</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工作效率</w:t>
            </w:r>
          </w:p>
        </w:tc>
        <w:tc>
          <w:tcPr>
            <w:tcW w:w="5386" w:type="dxa"/>
            <w:vAlign w:val="center"/>
          </w:tcPr>
          <w:p>
            <w:pPr>
              <w:pStyle w:val="13"/>
            </w:pPr>
            <w:r>
              <w:t>提高村级代办员工作积极性</w:t>
            </w:r>
          </w:p>
        </w:tc>
        <w:tc>
          <w:tcPr>
            <w:tcW w:w="2268" w:type="dxa"/>
            <w:vAlign w:val="center"/>
          </w:tcPr>
          <w:p>
            <w:pPr>
              <w:pStyle w:val="13"/>
            </w:pPr>
            <w:r>
              <w:t>100效率</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100按行政村平均分配</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确保资助项目政治导向正确</w:t>
            </w:r>
          </w:p>
        </w:tc>
        <w:tc>
          <w:tcPr>
            <w:tcW w:w="5386" w:type="dxa"/>
            <w:vAlign w:val="center"/>
          </w:tcPr>
          <w:p>
            <w:pPr>
              <w:pStyle w:val="13"/>
            </w:pPr>
            <w:r>
              <w:t>资助项目不出现上级通报的意识形态重大问题（个）</w:t>
            </w:r>
          </w:p>
        </w:tc>
        <w:tc>
          <w:tcPr>
            <w:tcW w:w="2268" w:type="dxa"/>
            <w:vAlign w:val="center"/>
          </w:tcPr>
          <w:p>
            <w:pPr>
              <w:pStyle w:val="13"/>
            </w:pPr>
            <w:r>
              <w:t>100专款使用</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能够长期较好地开展基层村级代办员征收城乡居民养老保险。</w:t>
            </w:r>
          </w:p>
        </w:tc>
        <w:tc>
          <w:tcPr>
            <w:tcW w:w="2268" w:type="dxa"/>
            <w:vAlign w:val="center"/>
          </w:tcPr>
          <w:p>
            <w:pPr>
              <w:pStyle w:val="13"/>
            </w:pPr>
            <w:r>
              <w:t>100基层工作稳定开展</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服务水平</w:t>
            </w:r>
          </w:p>
        </w:tc>
        <w:tc>
          <w:tcPr>
            <w:tcW w:w="5386" w:type="dxa"/>
            <w:vAlign w:val="center"/>
          </w:tcPr>
          <w:p>
            <w:pPr>
              <w:pStyle w:val="13"/>
            </w:pPr>
            <w:r>
              <w:t>提高平村级代办员工作积极性，提高服务水平</w:t>
            </w:r>
          </w:p>
        </w:tc>
        <w:tc>
          <w:tcPr>
            <w:tcW w:w="2268" w:type="dxa"/>
            <w:vAlign w:val="center"/>
          </w:tcPr>
          <w:p>
            <w:pPr>
              <w:pStyle w:val="13"/>
            </w:pPr>
            <w:r>
              <w:t>100工作效率</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≥95城乡居民养老征缴可持续</w:t>
            </w:r>
          </w:p>
        </w:tc>
        <w:tc>
          <w:tcPr>
            <w:tcW w:w="1276"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接受城乡居民养老保险参保人员人群对基层村级代办员提供服务的满意程度</w:t>
            </w:r>
          </w:p>
        </w:tc>
        <w:tc>
          <w:tcPr>
            <w:tcW w:w="2268" w:type="dxa"/>
            <w:vAlign w:val="center"/>
          </w:tcPr>
          <w:p>
            <w:pPr>
              <w:pStyle w:val="13"/>
            </w:pPr>
            <w:r>
              <w:t>≥95对接受服务的满意度</w:t>
            </w:r>
          </w:p>
        </w:tc>
        <w:tc>
          <w:tcPr>
            <w:tcW w:w="1276" w:type="dxa"/>
            <w:vAlign w:val="center"/>
          </w:tcPr>
          <w:p>
            <w:pPr>
              <w:pStyle w:val="13"/>
            </w:pPr>
            <w:r>
              <w:t>冀财社【2022】174号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2、冀财社[2023]214号下达2024年省级城乡居民社会保险代办员补助资金绩效目标表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13022924P000BR0109189</w:t>
            </w:r>
          </w:p>
        </w:tc>
        <w:tc>
          <w:tcPr>
            <w:tcW w:w="2835" w:type="dxa"/>
            <w:vAlign w:val="center"/>
          </w:tcPr>
          <w:p>
            <w:pPr>
              <w:pStyle w:val="11"/>
            </w:pPr>
            <w:r>
              <w:t>项目名称</w:t>
            </w:r>
          </w:p>
        </w:tc>
        <w:tc>
          <w:tcPr>
            <w:tcW w:w="6094" w:type="dxa"/>
            <w:gridSpan w:val="3"/>
            <w:vAlign w:val="center"/>
          </w:tcPr>
          <w:p>
            <w:pPr>
              <w:pStyle w:val="13"/>
            </w:pPr>
            <w:r>
              <w:t>冀财社[2023]214号下达2024年省级城乡居民社会保险代办员补助资金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120000.00</w:t>
            </w:r>
          </w:p>
        </w:tc>
        <w:tc>
          <w:tcPr>
            <w:tcW w:w="2835" w:type="dxa"/>
            <w:vAlign w:val="center"/>
          </w:tcPr>
          <w:p>
            <w:pPr>
              <w:pStyle w:val="11"/>
            </w:pPr>
            <w:r>
              <w:t>其中：财政    资金</w:t>
            </w:r>
          </w:p>
        </w:tc>
        <w:tc>
          <w:tcPr>
            <w:tcW w:w="2551" w:type="dxa"/>
            <w:vAlign w:val="center"/>
          </w:tcPr>
          <w:p>
            <w:pPr>
              <w:pStyle w:val="13"/>
            </w:pPr>
            <w:r>
              <w:t>120000.00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城乡居民养老保险代办员省级补助资金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1.征缴期结束后及时发放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按时完成征缴任务</w:t>
            </w:r>
          </w:p>
        </w:tc>
        <w:tc>
          <w:tcPr>
            <w:tcW w:w="2268" w:type="dxa"/>
            <w:vAlign w:val="center"/>
          </w:tcPr>
          <w:p>
            <w:pPr>
              <w:pStyle w:val="13"/>
            </w:pPr>
            <w:r>
              <w:t>100征缴期区间</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补助资金及时拨付</w:t>
            </w:r>
          </w:p>
        </w:tc>
        <w:tc>
          <w:tcPr>
            <w:tcW w:w="2268" w:type="dxa"/>
            <w:vAlign w:val="center"/>
          </w:tcPr>
          <w:p>
            <w:pPr>
              <w:pStyle w:val="13"/>
            </w:pPr>
            <w:r>
              <w:t>100征缴结束后</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工作效率</w:t>
            </w:r>
          </w:p>
        </w:tc>
        <w:tc>
          <w:tcPr>
            <w:tcW w:w="5386" w:type="dxa"/>
            <w:vAlign w:val="center"/>
          </w:tcPr>
          <w:p>
            <w:pPr>
              <w:pStyle w:val="13"/>
            </w:pPr>
            <w:r>
              <w:t>提高村级代办员工作积极性</w:t>
            </w:r>
          </w:p>
        </w:tc>
        <w:tc>
          <w:tcPr>
            <w:tcW w:w="2268" w:type="dxa"/>
            <w:vAlign w:val="center"/>
          </w:tcPr>
          <w:p>
            <w:pPr>
              <w:pStyle w:val="13"/>
            </w:pPr>
            <w:r>
              <w:t>100效率</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100按行政村平均分配</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确保资助项目政治导向正确</w:t>
            </w:r>
          </w:p>
        </w:tc>
        <w:tc>
          <w:tcPr>
            <w:tcW w:w="5386" w:type="dxa"/>
            <w:vAlign w:val="center"/>
          </w:tcPr>
          <w:p>
            <w:pPr>
              <w:pStyle w:val="13"/>
            </w:pPr>
            <w:r>
              <w:t>资助项目不出现上级通报的意识形态重大问题（个）</w:t>
            </w:r>
          </w:p>
        </w:tc>
        <w:tc>
          <w:tcPr>
            <w:tcW w:w="2268" w:type="dxa"/>
            <w:vAlign w:val="center"/>
          </w:tcPr>
          <w:p>
            <w:pPr>
              <w:pStyle w:val="13"/>
            </w:pPr>
            <w:r>
              <w:t>100专款使用</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能够长期较好地开展基层村级代办员征收城乡居民养老保险。</w:t>
            </w:r>
          </w:p>
        </w:tc>
        <w:tc>
          <w:tcPr>
            <w:tcW w:w="2268" w:type="dxa"/>
            <w:vAlign w:val="center"/>
          </w:tcPr>
          <w:p>
            <w:pPr>
              <w:pStyle w:val="13"/>
            </w:pPr>
            <w:r>
              <w:t>100基层工作稳定开展</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服务水平</w:t>
            </w:r>
          </w:p>
        </w:tc>
        <w:tc>
          <w:tcPr>
            <w:tcW w:w="5386" w:type="dxa"/>
            <w:vAlign w:val="center"/>
          </w:tcPr>
          <w:p>
            <w:pPr>
              <w:pStyle w:val="13"/>
            </w:pPr>
            <w:r>
              <w:t>提高平村级代办员工作积极性，提高服务水平</w:t>
            </w:r>
          </w:p>
        </w:tc>
        <w:tc>
          <w:tcPr>
            <w:tcW w:w="2268" w:type="dxa"/>
            <w:vAlign w:val="center"/>
          </w:tcPr>
          <w:p>
            <w:pPr>
              <w:pStyle w:val="13"/>
            </w:pPr>
            <w:r>
              <w:t>100工作效率</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≥95城乡居民养老征缴可持续</w:t>
            </w:r>
          </w:p>
        </w:tc>
        <w:tc>
          <w:tcPr>
            <w:tcW w:w="1276"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接受城乡居民养老保险参保人员人群对基层村级代办员提供服务的满意程度</w:t>
            </w:r>
          </w:p>
        </w:tc>
        <w:tc>
          <w:tcPr>
            <w:tcW w:w="2268" w:type="dxa"/>
            <w:vAlign w:val="center"/>
          </w:tcPr>
          <w:p>
            <w:pPr>
              <w:pStyle w:val="13"/>
            </w:pPr>
            <w:r>
              <w:t>≥95对接受服务的满意度</w:t>
            </w:r>
          </w:p>
        </w:tc>
        <w:tc>
          <w:tcPr>
            <w:tcW w:w="1276" w:type="dxa"/>
            <w:vAlign w:val="center"/>
          </w:tcPr>
          <w:p>
            <w:pPr>
              <w:pStyle w:val="13"/>
            </w:pPr>
            <w:r>
              <w:t>冀财社【2023】214号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13022924P00JXC418050K</w:t>
            </w:r>
          </w:p>
        </w:tc>
        <w:tc>
          <w:tcPr>
            <w:tcW w:w="2835" w:type="dxa"/>
            <w:vAlign w:val="center"/>
          </w:tcPr>
          <w:p>
            <w:pPr>
              <w:pStyle w:val="11"/>
            </w:pPr>
            <w:r>
              <w:t>项目名称</w:t>
            </w:r>
          </w:p>
        </w:tc>
        <w:tc>
          <w:tcPr>
            <w:tcW w:w="6094" w:type="dxa"/>
            <w:gridSpan w:val="3"/>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确保社保经办业务顺利开展，确保人社公共服务大厅更好地服务参保单位和参保人员。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1.确保社保经办业务顺利开展，确保人社公共服务大厅更好地服务参保单位和参保人员。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达到上级要求</w:t>
            </w:r>
          </w:p>
        </w:tc>
        <w:tc>
          <w:tcPr>
            <w:tcW w:w="5386" w:type="dxa"/>
            <w:vAlign w:val="center"/>
          </w:tcPr>
          <w:p>
            <w:pPr>
              <w:pStyle w:val="13"/>
            </w:pPr>
            <w:r>
              <w:t>达到上级部门要求完成的任务</w:t>
            </w:r>
          </w:p>
        </w:tc>
        <w:tc>
          <w:tcPr>
            <w:tcW w:w="2268" w:type="dxa"/>
            <w:vAlign w:val="center"/>
          </w:tcPr>
          <w:p>
            <w:pPr>
              <w:pStyle w:val="13"/>
            </w:pPr>
            <w:r>
              <w:t>≥90完成征缴扩面任务</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经费保证能力</w:t>
            </w:r>
          </w:p>
        </w:tc>
        <w:tc>
          <w:tcPr>
            <w:tcW w:w="5386" w:type="dxa"/>
            <w:vAlign w:val="center"/>
          </w:tcPr>
          <w:p>
            <w:pPr>
              <w:pStyle w:val="13"/>
            </w:pPr>
            <w:r>
              <w:t>保证日常工作正常运转的能力</w:t>
            </w:r>
          </w:p>
        </w:tc>
        <w:tc>
          <w:tcPr>
            <w:tcW w:w="2268" w:type="dxa"/>
            <w:vAlign w:val="center"/>
          </w:tcPr>
          <w:p>
            <w:pPr>
              <w:pStyle w:val="13"/>
            </w:pPr>
            <w:r>
              <w:t>≥90保障办公</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报告完成</w:t>
            </w:r>
          </w:p>
        </w:tc>
        <w:tc>
          <w:tcPr>
            <w:tcW w:w="5386" w:type="dxa"/>
            <w:vAlign w:val="center"/>
          </w:tcPr>
          <w:p>
            <w:pPr>
              <w:pStyle w:val="13"/>
            </w:pPr>
            <w:r>
              <w:t>提交年度报告时间节点</w:t>
            </w:r>
          </w:p>
        </w:tc>
        <w:tc>
          <w:tcPr>
            <w:tcW w:w="2268" w:type="dxa"/>
            <w:vAlign w:val="center"/>
          </w:tcPr>
          <w:p>
            <w:pPr>
              <w:pStyle w:val="13"/>
            </w:pPr>
            <w:r>
              <w:t>≥90开展业务</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≥90节约利用</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效益指标</w:t>
            </w:r>
          </w:p>
        </w:tc>
        <w:tc>
          <w:tcPr>
            <w:tcW w:w="5386" w:type="dxa"/>
            <w:vAlign w:val="center"/>
          </w:tcPr>
          <w:p>
            <w:pPr>
              <w:pStyle w:val="13"/>
            </w:pPr>
            <w:r>
              <w:t>合理人员开支</w:t>
            </w:r>
          </w:p>
        </w:tc>
        <w:tc>
          <w:tcPr>
            <w:tcW w:w="2268" w:type="dxa"/>
            <w:vAlign w:val="center"/>
          </w:tcPr>
          <w:p>
            <w:pPr>
              <w:pStyle w:val="13"/>
            </w:pPr>
            <w:r>
              <w:t>≥90保障运转</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≥90社保经办稳定发挥作用</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节约专用材料成本</w:t>
            </w:r>
          </w:p>
        </w:tc>
        <w:tc>
          <w:tcPr>
            <w:tcW w:w="2268" w:type="dxa"/>
            <w:vAlign w:val="center"/>
          </w:tcPr>
          <w:p>
            <w:pPr>
              <w:pStyle w:val="13"/>
            </w:pPr>
            <w:r>
              <w:t>≥90节约资源</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w:t>
            </w:r>
          </w:p>
        </w:tc>
        <w:tc>
          <w:tcPr>
            <w:tcW w:w="2268" w:type="dxa"/>
            <w:vAlign w:val="center"/>
          </w:tcPr>
          <w:p>
            <w:pPr>
              <w:pStyle w:val="13"/>
            </w:pPr>
            <w:r>
              <w:t>≥90更好开展人社业务</w:t>
            </w:r>
          </w:p>
        </w:tc>
        <w:tc>
          <w:tcPr>
            <w:tcW w:w="1276"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≥90参保人员意度度</w:t>
            </w:r>
          </w:p>
        </w:tc>
        <w:tc>
          <w:tcPr>
            <w:tcW w:w="1276" w:type="dxa"/>
            <w:vAlign w:val="center"/>
          </w:tcPr>
          <w:p>
            <w:pPr>
              <w:pStyle w:val="13"/>
            </w:pPr>
            <w:r>
              <w:t>保障社保经办机构正常运转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326玉田县社会保险服务中心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ind w:firstLine="0" w:firstLineChars="0"/>
            </w:pPr>
            <w:r>
              <w:rPr>
                <w:rFonts w:hint="eastAsia"/>
                <w:lang w:val="en-US" w:eastAsia="zh-CN"/>
              </w:rPr>
              <w:t>公务用车保险</w:t>
            </w:r>
          </w:p>
        </w:tc>
        <w:tc>
          <w:tcPr>
            <w:tcW w:w="964" w:type="dxa"/>
            <w:vAlign w:val="center"/>
          </w:tcPr>
          <w:p>
            <w:pPr>
              <w:pStyle w:val="12"/>
              <w:ind w:firstLine="0" w:firstLineChars="0"/>
              <w:rPr>
                <w:rFonts w:hint="default"/>
                <w:lang w:val="en-US"/>
              </w:rPr>
            </w:pPr>
            <w:r>
              <w:rPr>
                <w:rFonts w:hint="eastAsia"/>
                <w:lang w:val="en-US" w:eastAsia="zh-CN"/>
              </w:rPr>
              <w:t>2500</w:t>
            </w:r>
          </w:p>
        </w:tc>
        <w:tc>
          <w:tcPr>
            <w:tcW w:w="1134" w:type="dxa"/>
            <w:vAlign w:val="center"/>
          </w:tcPr>
          <w:p>
            <w:pPr>
              <w:pStyle w:val="13"/>
              <w:ind w:firstLine="0" w:firstLineChars="0"/>
            </w:pPr>
            <w:r>
              <w:rPr>
                <w:rFonts w:hint="eastAsia"/>
                <w:lang w:val="en-US" w:eastAsia="zh-CN"/>
              </w:rPr>
              <w:t>车辆保险</w:t>
            </w:r>
          </w:p>
        </w:tc>
        <w:tc>
          <w:tcPr>
            <w:tcW w:w="1134" w:type="dxa"/>
            <w:vAlign w:val="center"/>
          </w:tcPr>
          <w:p>
            <w:pPr>
              <w:pStyle w:val="13"/>
              <w:ind w:firstLine="0" w:firstLineChars="0"/>
            </w:pPr>
          </w:p>
        </w:tc>
        <w:tc>
          <w:tcPr>
            <w:tcW w:w="709" w:type="dxa"/>
            <w:vAlign w:val="center"/>
          </w:tcPr>
          <w:p>
            <w:pPr>
              <w:pStyle w:val="14"/>
              <w:ind w:firstLine="0" w:firstLineChars="0"/>
            </w:pPr>
            <w:r>
              <w:rPr>
                <w:rFonts w:hint="eastAsia"/>
                <w:lang w:val="en-US" w:eastAsia="zh-CN"/>
              </w:rPr>
              <w:t>元</w:t>
            </w:r>
          </w:p>
        </w:tc>
        <w:tc>
          <w:tcPr>
            <w:tcW w:w="850" w:type="dxa"/>
            <w:vAlign w:val="center"/>
          </w:tcPr>
          <w:p>
            <w:pPr>
              <w:pStyle w:val="12"/>
              <w:ind w:firstLine="0" w:firstLineChars="0"/>
            </w:pPr>
            <w:r>
              <w:rPr>
                <w:rFonts w:hint="eastAsia"/>
                <w:lang w:val="en-US" w:eastAsia="zh-CN"/>
              </w:rPr>
              <w:t>1</w:t>
            </w:r>
          </w:p>
        </w:tc>
        <w:tc>
          <w:tcPr>
            <w:tcW w:w="850" w:type="dxa"/>
            <w:vAlign w:val="center"/>
          </w:tcPr>
          <w:p>
            <w:pPr>
              <w:pStyle w:val="12"/>
              <w:ind w:firstLine="0" w:firstLineChars="0"/>
              <w:rPr>
                <w:rFonts w:hint="default"/>
                <w:lang w:val="en-US"/>
              </w:rPr>
            </w:pPr>
            <w:r>
              <w:rPr>
                <w:rFonts w:hint="eastAsia"/>
                <w:lang w:val="en-US" w:eastAsia="zh-CN"/>
              </w:rPr>
              <w:t>2500</w:t>
            </w:r>
          </w:p>
        </w:tc>
        <w:tc>
          <w:tcPr>
            <w:tcW w:w="964" w:type="dxa"/>
            <w:vAlign w:val="center"/>
          </w:tcPr>
          <w:p>
            <w:pPr>
              <w:pStyle w:val="12"/>
              <w:ind w:firstLine="0" w:firstLineChars="0"/>
              <w:rPr>
                <w:rFonts w:hint="default"/>
                <w:lang w:val="en-US"/>
              </w:rPr>
            </w:pPr>
            <w:r>
              <w:rPr>
                <w:rFonts w:hint="eastAsia"/>
                <w:lang w:val="en-US" w:eastAsia="zh-CN"/>
              </w:rPr>
              <w:t>2500</w:t>
            </w:r>
          </w:p>
        </w:tc>
        <w:tc>
          <w:tcPr>
            <w:tcW w:w="964" w:type="dxa"/>
            <w:vAlign w:val="center"/>
          </w:tcPr>
          <w:p>
            <w:pPr>
              <w:pStyle w:val="12"/>
              <w:ind w:firstLine="0" w:firstLineChars="0"/>
              <w:rPr>
                <w:rFonts w:hint="default"/>
                <w:lang w:val="en-US"/>
              </w:rPr>
            </w:pPr>
            <w:r>
              <w:rPr>
                <w:rFonts w:hint="eastAsia"/>
                <w:lang w:val="en-US" w:eastAsia="zh-CN"/>
              </w:rPr>
              <w:t>2500</w:t>
            </w:r>
          </w:p>
        </w:tc>
        <w:tc>
          <w:tcPr>
            <w:tcW w:w="964" w:type="dxa"/>
            <w:vAlign w:val="center"/>
          </w:tcPr>
          <w:p>
            <w:pPr>
              <w:pStyle w:val="12"/>
              <w:ind w:firstLine="0" w:firstLineChars="0"/>
            </w:pPr>
            <w:r>
              <w:rPr>
                <w:rFonts w:hint="eastAsia"/>
                <w:lang w:val="en-US" w:eastAsia="zh-CN"/>
              </w:rPr>
              <w:t>0</w:t>
            </w:r>
          </w:p>
        </w:tc>
        <w:tc>
          <w:tcPr>
            <w:tcW w:w="964" w:type="dxa"/>
            <w:vAlign w:val="center"/>
          </w:tcPr>
          <w:p>
            <w:pPr>
              <w:pStyle w:val="12"/>
              <w:ind w:firstLine="0" w:firstLineChars="0"/>
            </w:pPr>
            <w:r>
              <w:rPr>
                <w:rFonts w:hint="eastAsia"/>
                <w:lang w:val="en-US" w:eastAsia="zh-CN"/>
              </w:rPr>
              <w:t>0</w:t>
            </w:r>
          </w:p>
        </w:tc>
        <w:tc>
          <w:tcPr>
            <w:tcW w:w="964" w:type="dxa"/>
            <w:vAlign w:val="center"/>
          </w:tcPr>
          <w:p>
            <w:pPr>
              <w:pStyle w:val="12"/>
              <w:ind w:firstLine="0" w:firstLineChars="0"/>
            </w:pPr>
            <w:r>
              <w:rPr>
                <w:rFonts w:hint="eastAsia"/>
                <w:lang w:val="en-US" w:eastAsia="zh-CN"/>
              </w:rPr>
              <w:t>0</w:t>
            </w:r>
          </w:p>
        </w:tc>
        <w:tc>
          <w:tcPr>
            <w:tcW w:w="964" w:type="dxa"/>
            <w:vAlign w:val="center"/>
          </w:tcPr>
          <w:p>
            <w:pPr>
              <w:pStyle w:val="12"/>
              <w:ind w:firstLine="0" w:firstLineChars="0"/>
            </w:pPr>
            <w:r>
              <w:rPr>
                <w:rFonts w:hint="eastAsia"/>
                <w:lang w:val="en-US" w:eastAsia="zh-CN"/>
              </w:rPr>
              <w:t>0</w:t>
            </w:r>
          </w:p>
        </w:tc>
        <w:tc>
          <w:tcPr>
            <w:tcW w:w="964" w:type="dxa"/>
            <w:vAlign w:val="center"/>
          </w:tcPr>
          <w:p>
            <w:pPr>
              <w:pStyle w:val="12"/>
              <w:ind w:firstLine="0" w:firstLineChars="0"/>
            </w:pPr>
            <w:r>
              <w:rPr>
                <w:rFonts w:hint="eastAsia"/>
                <w:lang w:val="en-US" w:eastAsia="zh-CN"/>
              </w:rPr>
              <w:t>0</w:t>
            </w:r>
          </w:p>
        </w:tc>
        <w:tc>
          <w:tcPr>
            <w:tcW w:w="964" w:type="dxa"/>
            <w:vAlign w:val="center"/>
          </w:tcPr>
          <w:p>
            <w:pPr>
              <w:pStyle w:val="12"/>
              <w:ind w:firstLine="0" w:firstLineChars="0"/>
              <w:rPr>
                <w:rFonts w:hint="default"/>
                <w:lang w:val="en-US"/>
              </w:rPr>
            </w:pPr>
            <w:r>
              <w:rPr>
                <w:rFonts w:hint="eastAsia"/>
                <w:lang w:val="en-US" w:eastAsia="zh-CN"/>
              </w:rPr>
              <w:t>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玉田县社会保险服务中心（含所属单位）上年末固定资产金额为836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5</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326玉田县社会保险服务中心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8365275.47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3686</w:t>
            </w:r>
          </w:p>
        </w:tc>
        <w:tc>
          <w:tcPr>
            <w:tcW w:w="2835" w:type="dxa"/>
            <w:vAlign w:val="center"/>
          </w:tcPr>
          <w:p>
            <w:pPr>
              <w:pStyle w:val="12"/>
            </w:pPr>
            <w:r>
              <w:t>5564371.00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883</w:t>
            </w:r>
          </w:p>
        </w:tc>
        <w:tc>
          <w:tcPr>
            <w:tcW w:w="2835" w:type="dxa"/>
            <w:vAlign w:val="center"/>
          </w:tcPr>
          <w:p>
            <w:pPr>
              <w:pStyle w:val="12"/>
            </w:pPr>
            <w:r>
              <w:t>2664904.47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DJmNjhkNzI2NDBjZWVlOTUwMDRiNmQ2ODUzOTgifQ=="/>
  </w:docVars>
  <w:rsids>
    <w:rsidRoot w:val="00000000"/>
    <w:rsid w:val="1FBB42E1"/>
    <w:rsid w:val="33A419E8"/>
    <w:rsid w:val="5D094D06"/>
    <w:rsid w:val="7DF37D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2024-01-31T09:09:00Z</dcterms:created>
  <dc:creator>Lenovo</dc:creator>
  <cp:lastModifiedBy>baixin</cp:lastModifiedBy>
  <dcterms:modified xsi:type="dcterms:W3CDTF">2025-05-12T14:40:58Z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C4881C4B7E0CD44B7F9421682D37E267</vt:lpwstr>
  </property>
</Properties>
</file>