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玉田县商务和投资促进局责任事项和追责情形依据分表</w:t>
      </w:r>
    </w:p>
    <w:p>
      <w:pPr>
        <w:spacing w:line="600" w:lineRule="exact"/>
        <w:rPr>
          <w:rFonts w:ascii="仿宋_GB2312"/>
        </w:rPr>
      </w:pPr>
      <w:r>
        <w:rPr>
          <w:rFonts w:hint="eastAsia" w:ascii="楷体_GB2312" w:hAnsi="楷体_GB2312" w:eastAsia="楷体_GB2312"/>
          <w:sz w:val="28"/>
        </w:rPr>
        <w:t>单位：玉田县</w:t>
      </w:r>
      <w:r>
        <w:rPr>
          <w:rFonts w:hint="eastAsia" w:ascii="楷体_GB2312" w:hAnsi="楷体_GB2312" w:eastAsia="楷体_GB2312" w:cs="Arial"/>
          <w:sz w:val="28"/>
        </w:rPr>
        <w:t>商务和投资促进局（公章）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4200"/>
        <w:gridCol w:w="6028"/>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黑体" w:hAnsi="黑体" w:eastAsia="黑体"/>
                <w:sz w:val="24"/>
              </w:rPr>
            </w:pPr>
            <w:r>
              <w:rPr>
                <w:rFonts w:hint="eastAsia" w:ascii="黑体" w:hAnsi="黑体" w:eastAsia="黑体"/>
                <w:sz w:val="24"/>
              </w:rPr>
              <w:t>序号</w:t>
            </w:r>
          </w:p>
        </w:tc>
        <w:tc>
          <w:tcPr>
            <w:tcW w:w="1475" w:type="dxa"/>
            <w:vAlign w:val="center"/>
          </w:tcPr>
          <w:p>
            <w:pPr>
              <w:spacing w:line="400" w:lineRule="exact"/>
              <w:jc w:val="center"/>
              <w:rPr>
                <w:rFonts w:ascii="黑体" w:hAnsi="黑体" w:eastAsia="黑体"/>
                <w:sz w:val="24"/>
              </w:rPr>
            </w:pPr>
            <w:r>
              <w:rPr>
                <w:rFonts w:hint="eastAsia" w:ascii="黑体" w:hAnsi="黑体" w:eastAsia="黑体"/>
                <w:sz w:val="24"/>
              </w:rPr>
              <w:t>权力事项</w:t>
            </w:r>
          </w:p>
        </w:tc>
        <w:tc>
          <w:tcPr>
            <w:tcW w:w="4200" w:type="dxa"/>
            <w:vAlign w:val="center"/>
          </w:tcPr>
          <w:p>
            <w:pPr>
              <w:spacing w:line="400" w:lineRule="exact"/>
              <w:jc w:val="center"/>
              <w:rPr>
                <w:rFonts w:ascii="黑体" w:hAnsi="黑体" w:eastAsia="黑体"/>
                <w:sz w:val="24"/>
              </w:rPr>
            </w:pPr>
            <w:r>
              <w:rPr>
                <w:rFonts w:hint="eastAsia" w:ascii="黑体" w:hAnsi="黑体" w:eastAsia="黑体"/>
                <w:sz w:val="24"/>
              </w:rPr>
              <w:t>责任事项依据</w:t>
            </w:r>
          </w:p>
        </w:tc>
        <w:tc>
          <w:tcPr>
            <w:tcW w:w="6028" w:type="dxa"/>
            <w:vAlign w:val="center"/>
          </w:tcPr>
          <w:p>
            <w:pPr>
              <w:spacing w:line="400" w:lineRule="exact"/>
              <w:jc w:val="center"/>
              <w:rPr>
                <w:rFonts w:ascii="黑体" w:hAnsi="黑体" w:eastAsia="黑体"/>
                <w:sz w:val="24"/>
              </w:rPr>
            </w:pPr>
            <w:r>
              <w:rPr>
                <w:rFonts w:hint="eastAsia" w:ascii="黑体" w:hAnsi="黑体" w:eastAsia="黑体"/>
                <w:sz w:val="24"/>
              </w:rPr>
              <w:t>追责情形依据</w:t>
            </w:r>
          </w:p>
        </w:tc>
        <w:tc>
          <w:tcPr>
            <w:tcW w:w="1334" w:type="dxa"/>
            <w:vAlign w:val="center"/>
          </w:tcPr>
          <w:p>
            <w:pPr>
              <w:spacing w:line="40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零售商滥用优势地位从事不公平交易行为的处罚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六条、第二十三条：法律法规有规定的，从其规定；没有规定的，责令改正；有违法所得的，可处违法所得三倍以下罚款，但最高不超过三万元；没有违法所得的，可处一万元以下罚款；并可向社会公告。</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ind w:firstLine="280" w:firstLineChars="100"/>
              <w:rPr>
                <w:rFonts w:ascii="仿宋_GB2312"/>
                <w:sz w:val="28"/>
                <w:szCs w:val="28"/>
              </w:rPr>
            </w:pPr>
            <w:r>
              <w:rPr>
                <w:rFonts w:hint="eastAsia" w:ascii="仿宋_GB2312"/>
                <w:sz w:val="28"/>
                <w:szCs w:val="28"/>
              </w:rPr>
              <w:t>2</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零售商收取促销服务费后，未按合同约定向供应商提供相应的服务，擅自终止服务或降低法务标准，并拒绝向供应商发还未提供服务部分费用的处罚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零售商违规收费行为的处罚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4</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零售商违规延迟向供应商支付货款行为的处罚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5</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供应商供货时，强行搭售零售商未定购商品的处罚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6</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供应商供货时，限制零售商销售其他供应商商品的处罚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4.对违反本办法规定的行为任何单位和个人均可向上述部门举报，相关部门接到举报后，应当依法予以查处。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7</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发卡企业未在开展单用途卡业务之日起30日内按照规定办理备案的处罚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 xml:space="preserve">《单用途商业预付卡管理办法》（试行）（商务部令2012年第9号）第三十六条：发卡企业违反本办法第七条规定的，由违法行为发生地县级以上地方人民政府商务主管部门责令限期改正；逾期仍不改正的，处以1万元以上3万元以下罚款。 </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 xml:space="preserve">4.《单用途商业预付卡管理办法》（试行）（商务部令2012年第9号）第三十六条：发卡企业违反本办法第七条规定的，由违法行为发生地县级以上地方人民政府商务主管部门责令限期改正；逾期仍不改正的，处以1万元以上3万元以下罚款。 </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8</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发卡企业违规发行预付卡行为的处罚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 xml:space="preserve">《单用途商业预付卡管理办法》（试行）（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 xml:space="preserve">4.《单用途商业预付卡管理办法》（试行）（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7"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9</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发卡企业违反资金管理行为的处罚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《单用途商业预付卡管理办法》（试行）（商务部令2012年第9号）第三十:八条：发卡企业违反本办法第二十九条规定，造成重大损失的，由备案机关处以1万元以上3万元以下罚款。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4.《单用途商业预付卡管理办法》（试行）（商务部令2012年第9号）第三十:八条：发卡企业违反本办法第二十九条规定，造成重大损失的，由备案机关处以1万元以上3万元以下罚款。</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10</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家庭服务机构违规经营行为的处罚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 xml:space="preserve">《家庭服务业管理暂行办法》（商务部令2012年第11号）第三十二条、第三十三条、第三十四条、第三十五条、第三十六条：第三十二条 家庭服务机构违反本办法第九条规定，未公开服务项目、收费标准和投诉监督电话的，由商务主管部门责令改正；拒不改正的，可处5000元以下罚款。第三十三条 家庭服务机构违反本办法第十条规定，未按要求建立工作档案、跟踪管理制度，对消费者和家庭服务员之间的投诉不予妥善处理的，由商务主管部门责令改正；拒不改正的，可处2万元以下罚款。第三十四条 家庭服务机构违反本办法第十一条、第二十六条规定，未按要求提供信息的，由商务主管部门责令改正；拒不改正的，可处1万元以下罚款。第三十五条 家庭服务机构有本办法第十二条规定行为的，由商务主管部门或有关主管部门责令改正；拒不改正的，属于商务主管部门职责的，可处3万元以下罚款，属于其他部门职责的，由商务主管部门提请有关主管部门处理。第三十六条 家庭服务机构违反本办法第十三条、第十四条、第十五条规定，未按要求订立家庭服务合同的，拒绝家庭服务员获取家庭服务合同的，由商务主管部门或有关部门责令改正；拒不改正的，可处3万元以下罚款。   </w:t>
            </w:r>
          </w:p>
          <w:p>
            <w:pPr>
              <w:autoSpaceDN w:val="0"/>
              <w:spacing w:line="300" w:lineRule="exact"/>
              <w:jc w:val="left"/>
              <w:textAlignment w:val="center"/>
              <w:rPr>
                <w:rFonts w:ascii="宋体" w:hAnsi="宋体" w:eastAsia="宋体" w:cs="宋体"/>
                <w:kern w:val="0"/>
                <w:sz w:val="18"/>
                <w:szCs w:val="18"/>
              </w:rPr>
            </w:pP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4.商务主管部门在家庭服务业监督管理工作中，玩忽职守、滥用职权、徇私舞弊的，依法给予行政处分；构成犯罪的，依法追究刑事责任。 </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11</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从事洗染经营活动的经营者在取得营业执照后的60日内未向同级商务主管部门办理备案的处罚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洗染业管理办法》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洗染业管理办法》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12</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家电维修经营者违反《家电维修服务业管理办法》第九条规定的处罚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《家电维修服务业管理办法》第十四条：违反本办法第九条规定，情节严重的，可处三万元以下罚款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4.《家电维修服务业管理办法》第十四条：违反本办法第九条规定，情节严重的，可处三万元以下罚款。</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13</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市场经营者违反第十一条、第十二条、第十三条、第十四条、第十七条、第十八条、第十九条、第二十一条规定的处罚</w:t>
            </w:r>
          </w:p>
          <w:p>
            <w:pPr>
              <w:autoSpaceDN w:val="0"/>
              <w:spacing w:line="300" w:lineRule="exact"/>
              <w:jc w:val="left"/>
              <w:textAlignment w:val="center"/>
              <w:rPr>
                <w:rFonts w:ascii="宋体" w:hAnsi="宋体" w:eastAsia="宋体" w:cs="宋体"/>
                <w:kern w:val="0"/>
                <w:sz w:val="18"/>
                <w:szCs w:val="18"/>
              </w:rPr>
            </w:pP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《商品现货市场交易特别规定》第二十三条：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4.商务主管部门在家庭服务业监督管理工作中，玩忽职守、滥用职权、徇私舞弊的，依法给予行政处分；构成犯罪的，依法追究刑事责任。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14</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对于餐饮经营者违反餐饮业经营管理规定的处罚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餐饮业经营管理办法》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在家庭服务业监督管理工作中，玩忽职守、滥用职权、徇私舞弊的，依法给予行政处分；构成犯罪的，依法追究刑事责任。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15</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对从事汽车销售及相关服务的企业违反销售行为规范及销售市场秩序行为的处罚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16</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对从事汽车销售及相关服务的企业违反销售行为规范及销售市场秩序行为的处罚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汽车销售管理办法》第三十三条：违反本办法第十一条、第十五条、第十八条、第二十条第二款、第二十七条、第二十八条有关规定的，由县级以上地方商务主管部门责令改正，并可给予警告或1万元以下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17</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回收拆解企业违法细则第七条第一款的处罚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18</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回收拆解企业违反细则第十四条的处罚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一条：违反本细则第十四条规定，回收拆解企业涂改、出租、出借或者以其他形式非法转让《资质认定书》的，由县级以上地方商务主管部门责令改正，并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19</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回收拆解企业违反细则第十五条第一款的处罚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《报废机动车回收管理办法实施细则》第四十二条： 违反本细则第十五条第一款规定，回收拆解企业未按照要求备案分支机构的，由分支机构注册登记所在地县级以上地方商务主管部门责令改正，并处1万元以上3万元以下的罚款。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20</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回收拆解企业违反细则第十五条第二款的处罚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二条：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21</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回收拆解企业违反细则第十九条第一款、第二十条、第二十一条的处罚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《报废机动车回收管理办法实施细则》第四十三条：</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22</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回收拆解企业违反细则第十九条第二款的处罚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四条：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23</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回收拆解企业违反细则第二十三条的处罚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《报废机动车回收管理办法实施细则》第四十五条</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24</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回收拆解企业违反细则第二十四条的处罚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《报废机动车回收管理办法实施细则》第四十六条</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25</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回收拆解企业违反细则第二十六条的处罚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《报废机动车回收管理办法实施细则》第四十八条</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26</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回收拆解企业违反细则第二十七条的处罚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四十九条：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790" w:type="dxa"/>
            <w:vAlign w:val="center"/>
          </w:tcPr>
          <w:p>
            <w:pPr>
              <w:spacing w:line="600" w:lineRule="exact"/>
              <w:jc w:val="center"/>
              <w:rPr>
                <w:rFonts w:ascii="仿宋_GB2312"/>
              </w:rPr>
            </w:pPr>
            <w:r>
              <w:rPr>
                <w:rFonts w:hint="eastAsia" w:ascii="仿宋_GB2312"/>
                <w:sz w:val="28"/>
                <w:szCs w:val="28"/>
              </w:rPr>
              <w:t>27</w:t>
            </w:r>
          </w:p>
        </w:tc>
        <w:tc>
          <w:tcPr>
            <w:tcW w:w="1475"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回收拆解企业违反细则第二十八、第二十九条的处罚</w:t>
            </w:r>
          </w:p>
        </w:tc>
        <w:tc>
          <w:tcPr>
            <w:tcW w:w="4200"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报废机动车回收管理办法实施细则》第五十条：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6028" w:type="dxa"/>
            <w:vAlign w:val="center"/>
          </w:tcPr>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2..《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3.河北省相关法律法规规章等。</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4..商务主管部门的工作人员在汽车销售及其相关服务活动监督管理工作中滥用职权、玩忽职守、徇私舞弊的，依法给予处分;构成犯罪的，依法追究刑事责任；</w:t>
            </w:r>
          </w:p>
          <w:p>
            <w:pPr>
              <w:autoSpaceDN w:val="0"/>
              <w:spacing w:line="300" w:lineRule="exact"/>
              <w:jc w:val="left"/>
              <w:textAlignment w:val="center"/>
              <w:rPr>
                <w:rFonts w:ascii="宋体" w:hAnsi="宋体" w:eastAsia="宋体" w:cs="宋体"/>
                <w:kern w:val="0"/>
                <w:sz w:val="18"/>
                <w:szCs w:val="18"/>
              </w:rPr>
            </w:pPr>
            <w:r>
              <w:rPr>
                <w:rFonts w:hint="eastAsia" w:ascii="宋体" w:hAnsi="宋体" w:eastAsia="宋体" w:cs="宋体"/>
                <w:kern w:val="0"/>
                <w:sz w:val="18"/>
                <w:szCs w:val="18"/>
              </w:rPr>
              <w:t>5.《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28</w:t>
            </w:r>
          </w:p>
        </w:tc>
        <w:tc>
          <w:tcPr>
            <w:tcW w:w="1475"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对家庭服务企业进行的行政检查</w:t>
            </w:r>
          </w:p>
        </w:tc>
        <w:tc>
          <w:tcPr>
            <w:tcW w:w="4200"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《家庭服务业管理暂行办法》（商务部令2012年第11号）第四条：县级以上商务主管部门负责本行政区域内家庭服务业的监督管理。</w:t>
            </w:r>
          </w:p>
        </w:tc>
        <w:tc>
          <w:tcPr>
            <w:tcW w:w="6028" w:type="dxa"/>
            <w:vAlign w:val="center"/>
          </w:tcPr>
          <w:p>
            <w:pPr>
              <w:tabs>
                <w:tab w:val="left" w:pos="7937"/>
              </w:tabs>
              <w:spacing w:line="260" w:lineRule="exact"/>
              <w:rPr>
                <w:rFonts w:ascii="宋体" w:hAnsi="宋体" w:eastAsia="宋体"/>
                <w:sz w:val="18"/>
              </w:rPr>
            </w:pPr>
            <w:r>
              <w:rPr>
                <w:rFonts w:hint="eastAsia" w:ascii="宋体" w:hAnsi="宋体" w:eastAsia="宋体"/>
                <w:sz w:val="18"/>
              </w:rPr>
              <w:t>商务主管部门在家庭服务业监督管理工作中，玩忽职守、滥用职权、徇私舞弊的，依法给予行政处分；构成犯罪的，依法追究刑事责任。</w:t>
            </w: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29</w:t>
            </w:r>
          </w:p>
        </w:tc>
        <w:tc>
          <w:tcPr>
            <w:tcW w:w="1475" w:type="dxa"/>
            <w:vAlign w:val="center"/>
          </w:tcPr>
          <w:p>
            <w:pPr>
              <w:tabs>
                <w:tab w:val="left" w:pos="7937"/>
              </w:tabs>
              <w:spacing w:line="260" w:lineRule="exact"/>
              <w:rPr>
                <w:rFonts w:ascii="宋体" w:hAnsi="宋体" w:eastAsia="宋体"/>
                <w:color w:val="000000"/>
                <w:sz w:val="18"/>
                <w:szCs w:val="18"/>
              </w:rPr>
            </w:pPr>
            <w:r>
              <w:rPr>
                <w:rFonts w:hint="eastAsia" w:ascii="宋体" w:hAnsi="宋体" w:eastAsia="宋体"/>
                <w:sz w:val="18"/>
                <w:szCs w:val="18"/>
              </w:rPr>
              <w:t>对洗染经营企业进行的行政检查</w:t>
            </w:r>
          </w:p>
        </w:tc>
        <w:tc>
          <w:tcPr>
            <w:tcW w:w="4200"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《洗染业管理办法》（商务部、工商总局、环保总局令2007年第5号）第三条：地方各级商务主管部门负责本行政区域内洗染行业指导、协调、监督和管理工作。</w:t>
            </w:r>
          </w:p>
        </w:tc>
        <w:tc>
          <w:tcPr>
            <w:tcW w:w="6028" w:type="dxa"/>
            <w:vAlign w:val="center"/>
          </w:tcPr>
          <w:p>
            <w:pPr>
              <w:tabs>
                <w:tab w:val="left" w:pos="7937"/>
              </w:tabs>
              <w:spacing w:line="26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30</w:t>
            </w:r>
          </w:p>
        </w:tc>
        <w:tc>
          <w:tcPr>
            <w:tcW w:w="1475" w:type="dxa"/>
            <w:vAlign w:val="center"/>
          </w:tcPr>
          <w:p>
            <w:pPr>
              <w:tabs>
                <w:tab w:val="left" w:pos="7937"/>
              </w:tabs>
              <w:spacing w:line="260" w:lineRule="exact"/>
              <w:rPr>
                <w:rFonts w:ascii="宋体" w:hAnsi="宋体" w:eastAsia="宋体"/>
                <w:color w:val="000000"/>
                <w:sz w:val="18"/>
                <w:szCs w:val="18"/>
              </w:rPr>
            </w:pPr>
            <w:r>
              <w:rPr>
                <w:rFonts w:hint="eastAsia" w:ascii="宋体" w:hAnsi="宋体" w:eastAsia="宋体"/>
                <w:sz w:val="18"/>
                <w:szCs w:val="18"/>
              </w:rPr>
              <w:t>对家电维修企业进行的行政检查</w:t>
            </w:r>
          </w:p>
        </w:tc>
        <w:tc>
          <w:tcPr>
            <w:tcW w:w="4200"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《家电维修服务业管理办法》（商务部令2012年第7号 2012年8月1日起施行）第三条： </w:t>
            </w:r>
            <w:r>
              <w:rPr>
                <w:rFonts w:ascii="宋体" w:hAnsi="宋体" w:eastAsia="宋体"/>
                <w:sz w:val="18"/>
                <w:szCs w:val="18"/>
              </w:rPr>
              <w:t>商务部负责家电维修服务业的行业管理工作，各级商务主管部门负责本行政区域内的家电维修服务业的指导、协调和监督管理工作。</w:t>
            </w:r>
          </w:p>
        </w:tc>
        <w:tc>
          <w:tcPr>
            <w:tcW w:w="6028" w:type="dxa"/>
            <w:vAlign w:val="center"/>
          </w:tcPr>
          <w:p>
            <w:pPr>
              <w:tabs>
                <w:tab w:val="left" w:pos="7937"/>
              </w:tabs>
              <w:spacing w:line="26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31</w:t>
            </w:r>
          </w:p>
        </w:tc>
        <w:tc>
          <w:tcPr>
            <w:tcW w:w="1475"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对餐饮企业进行的行政检查</w:t>
            </w:r>
          </w:p>
        </w:tc>
        <w:tc>
          <w:tcPr>
            <w:tcW w:w="4200"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《餐饮业经营管理办法（试行）》（商务部令2014年第4号 2014年11月1日起施行）第二十一条第一款： 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p>
            <w:pPr>
              <w:autoSpaceDN w:val="0"/>
              <w:spacing w:line="300" w:lineRule="exact"/>
              <w:jc w:val="left"/>
              <w:textAlignment w:val="center"/>
              <w:rPr>
                <w:rFonts w:ascii="宋体" w:hAnsi="宋体" w:eastAsia="宋体"/>
                <w:sz w:val="18"/>
                <w:szCs w:val="18"/>
              </w:rPr>
            </w:pPr>
          </w:p>
        </w:tc>
        <w:tc>
          <w:tcPr>
            <w:tcW w:w="6028"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szCs w:val="18"/>
              </w:rPr>
              <w:t>《餐饮业经营管理办法（试行）》（商务部令2014年第4号 2014年11月1日起施行）第二十二条：商务、价格等主管部门工作人员在监督管理工作中滥用职权、徇私舞弊的，对直接负责的主管人员和其他直接责任人员依法给予行政处分；构成犯罪的，依法追究刑事责任。</w:t>
            </w:r>
          </w:p>
          <w:p>
            <w:pPr>
              <w:autoSpaceDN w:val="0"/>
              <w:spacing w:line="300" w:lineRule="exact"/>
              <w:jc w:val="left"/>
              <w:textAlignment w:val="center"/>
              <w:rPr>
                <w:rFonts w:ascii="宋体" w:hAnsi="宋体" w:eastAsia="宋体"/>
                <w:sz w:val="18"/>
                <w:szCs w:val="18"/>
              </w:rPr>
            </w:pPr>
          </w:p>
        </w:tc>
        <w:tc>
          <w:tcPr>
            <w:tcW w:w="1334" w:type="dxa"/>
            <w:vAlign w:val="center"/>
          </w:tcPr>
          <w:p>
            <w:pPr>
              <w:autoSpaceDN w:val="0"/>
              <w:spacing w:line="300" w:lineRule="exact"/>
              <w:jc w:val="left"/>
              <w:textAlignment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32</w:t>
            </w:r>
          </w:p>
        </w:tc>
        <w:tc>
          <w:tcPr>
            <w:tcW w:w="1475" w:type="dxa"/>
            <w:vAlign w:val="center"/>
          </w:tcPr>
          <w:p>
            <w:pPr>
              <w:tabs>
                <w:tab w:val="left" w:pos="7937"/>
              </w:tabs>
              <w:spacing w:line="260" w:lineRule="exact"/>
              <w:rPr>
                <w:rFonts w:ascii="宋体" w:hAnsi="宋体" w:eastAsia="宋体"/>
                <w:sz w:val="18"/>
              </w:rPr>
            </w:pPr>
            <w:r>
              <w:rPr>
                <w:rFonts w:hint="eastAsia" w:ascii="宋体" w:hAnsi="宋体" w:eastAsia="宋体"/>
                <w:color w:val="000000"/>
                <w:sz w:val="18"/>
                <w:szCs w:val="18"/>
              </w:rPr>
              <w:t>对汽车销售及其相关服务活动实施日常监督检查</w:t>
            </w:r>
          </w:p>
        </w:tc>
        <w:tc>
          <w:tcPr>
            <w:tcW w:w="4200" w:type="dxa"/>
            <w:vAlign w:val="center"/>
          </w:tcPr>
          <w:p>
            <w:pPr>
              <w:spacing w:line="240" w:lineRule="exact"/>
              <w:rPr>
                <w:rFonts w:ascii="宋体" w:hAnsi="宋体" w:eastAsia="宋体" w:cs="宋体"/>
                <w:color w:val="000000"/>
                <w:sz w:val="18"/>
                <w:szCs w:val="18"/>
                <w:shd w:val="clear" w:color="auto" w:fill="FFFFFF"/>
              </w:rPr>
            </w:pPr>
            <w:r>
              <w:rPr>
                <w:rFonts w:hint="eastAsia" w:ascii="宋体" w:hAnsi="宋体" w:eastAsia="宋体"/>
                <w:sz w:val="18"/>
              </w:rPr>
              <w:t>中华人民共和国商务部令2017年第1号《汽车销售管理办法》</w:t>
            </w:r>
            <w:r>
              <w:rPr>
                <w:rFonts w:hint="eastAsia" w:ascii="宋体" w:hAnsi="宋体" w:eastAsia="宋体" w:cs="宋体"/>
                <w:color w:val="333333"/>
                <w:sz w:val="18"/>
                <w:szCs w:val="18"/>
                <w:shd w:val="clear" w:color="auto" w:fill="FFFFFF"/>
              </w:rPr>
              <w:t>第二十九条：</w:t>
            </w:r>
            <w:r>
              <w:rPr>
                <w:rFonts w:hint="eastAsia" w:ascii="宋体" w:hAnsi="宋体" w:eastAsia="宋体" w:cs="宋体"/>
                <w:color w:val="000000"/>
                <w:sz w:val="18"/>
                <w:szCs w:val="18"/>
                <w:shd w:val="clear" w:color="auto" w:fill="FFFFFF"/>
              </w:rPr>
              <w:t>县级以上地方商务主管部门应当依据职责，采取“双随机”办法对汽车销售及其相关服务活动实施日常监督检查。</w:t>
            </w:r>
          </w:p>
          <w:p>
            <w:pPr>
              <w:autoSpaceDN w:val="0"/>
              <w:spacing w:line="300" w:lineRule="exact"/>
              <w:jc w:val="left"/>
              <w:textAlignment w:val="center"/>
              <w:rPr>
                <w:rFonts w:ascii="宋体" w:hAnsi="宋体" w:eastAsia="宋体"/>
                <w:sz w:val="18"/>
                <w:szCs w:val="18"/>
              </w:rPr>
            </w:pPr>
          </w:p>
        </w:tc>
        <w:tc>
          <w:tcPr>
            <w:tcW w:w="6028" w:type="dxa"/>
            <w:vAlign w:val="center"/>
          </w:tcPr>
          <w:p>
            <w:pPr>
              <w:tabs>
                <w:tab w:val="left" w:pos="7937"/>
              </w:tabs>
              <w:spacing w:line="200" w:lineRule="exact"/>
              <w:jc w:val="left"/>
              <w:rPr>
                <w:rFonts w:ascii="宋体" w:hAnsi="宋体" w:eastAsia="宋体"/>
                <w:sz w:val="18"/>
                <w:szCs w:val="18"/>
              </w:rPr>
            </w:pPr>
            <w:r>
              <w:rPr>
                <w:rFonts w:hint="eastAsia" w:ascii="宋体" w:hAnsi="宋体" w:eastAsia="宋体"/>
                <w:spacing w:val="-4"/>
                <w:sz w:val="18"/>
                <w:szCs w:val="18"/>
              </w:rPr>
              <w:t>商务主管部门的工作人员在汽车销售及其相关服务活动监督管理工作中滥用职权、玩忽职守、徇私舞弊的，依法给予处分;构成犯罪的，依法追究刑事责任；</w:t>
            </w:r>
            <w:r>
              <w:rPr>
                <w:rFonts w:ascii="宋体" w:hAnsi="宋体" w:eastAsia="宋体"/>
                <w:sz w:val="18"/>
              </w:rPr>
              <w:br w:type="textWrapping"/>
            </w: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ascii="宋体" w:hAnsi="宋体" w:eastAsia="宋体"/>
                <w:spacing w:val="-4"/>
                <w:sz w:val="18"/>
                <w:szCs w:val="18"/>
              </w:rPr>
              <w:t>1.</w:t>
            </w:r>
            <w:r>
              <w:rPr>
                <w:rFonts w:hint="eastAsia" w:ascii="宋体" w:hAnsi="宋体" w:eastAsia="宋体"/>
                <w:spacing w:val="-4"/>
                <w:sz w:val="18"/>
                <w:szCs w:val="18"/>
              </w:rPr>
              <w:t>不采取“双随机”办法</w:t>
            </w:r>
            <w:r>
              <w:rPr>
                <w:rFonts w:hint="eastAsia" w:ascii="宋体" w:hAnsi="宋体" w:eastAsia="宋体"/>
                <w:sz w:val="18"/>
              </w:rPr>
              <w:t>对辖区内</w:t>
            </w:r>
            <w:r>
              <w:rPr>
                <w:rFonts w:hint="eastAsia" w:ascii="宋体" w:hAnsi="宋体" w:eastAsia="宋体" w:cs="宋体"/>
                <w:color w:val="000000"/>
                <w:sz w:val="18"/>
                <w:szCs w:val="18"/>
                <w:shd w:val="clear" w:color="auto" w:fill="FFFFFF"/>
              </w:rPr>
              <w:t>汽车销售及其相关服务活动进行检查</w:t>
            </w:r>
            <w:r>
              <w:rPr>
                <w:rFonts w:hint="eastAsia" w:ascii="宋体" w:hAnsi="宋体" w:eastAsia="宋体"/>
                <w:spacing w:val="-4"/>
                <w:sz w:val="18"/>
                <w:szCs w:val="18"/>
              </w:rPr>
              <w:t>；</w:t>
            </w:r>
          </w:p>
          <w:p>
            <w:pPr>
              <w:spacing w:line="240" w:lineRule="exact"/>
              <w:rPr>
                <w:rFonts w:ascii="宋体" w:hAnsi="宋体" w:eastAsia="宋体"/>
                <w:spacing w:val="-4"/>
                <w:sz w:val="18"/>
                <w:szCs w:val="18"/>
              </w:rPr>
            </w:pPr>
            <w:r>
              <w:rPr>
                <w:rFonts w:ascii="宋体" w:hAnsi="宋体" w:eastAsia="宋体"/>
                <w:spacing w:val="-4"/>
                <w:sz w:val="18"/>
                <w:szCs w:val="18"/>
              </w:rPr>
              <w:t>2.</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4</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33</w:t>
            </w:r>
          </w:p>
        </w:tc>
        <w:tc>
          <w:tcPr>
            <w:tcW w:w="1475" w:type="dxa"/>
            <w:vAlign w:val="center"/>
          </w:tcPr>
          <w:p>
            <w:pPr>
              <w:tabs>
                <w:tab w:val="left" w:pos="7937"/>
              </w:tabs>
              <w:spacing w:line="260" w:lineRule="exact"/>
              <w:rPr>
                <w:rFonts w:ascii="宋体" w:hAnsi="宋体" w:eastAsia="宋体"/>
                <w:sz w:val="18"/>
              </w:rPr>
            </w:pPr>
            <w:r>
              <w:rPr>
                <w:rFonts w:hint="eastAsia" w:ascii="宋体" w:hAnsi="宋体" w:eastAsia="宋体"/>
                <w:sz w:val="18"/>
              </w:rPr>
              <w:t>对发卡企业进行的行政检查</w:t>
            </w:r>
          </w:p>
        </w:tc>
        <w:tc>
          <w:tcPr>
            <w:tcW w:w="4200" w:type="dxa"/>
            <w:vAlign w:val="center"/>
          </w:tcPr>
          <w:p>
            <w:pPr>
              <w:tabs>
                <w:tab w:val="left" w:pos="7937"/>
              </w:tabs>
              <w:spacing w:line="240" w:lineRule="exact"/>
              <w:jc w:val="left"/>
              <w:rPr>
                <w:rFonts w:ascii="宋体" w:hAnsi="宋体" w:eastAsia="宋体"/>
                <w:sz w:val="18"/>
              </w:rPr>
            </w:pPr>
            <w:r>
              <w:rPr>
                <w:rFonts w:hint="eastAsia" w:ascii="宋体" w:hAnsi="宋体" w:eastAsia="宋体"/>
                <w:sz w:val="18"/>
              </w:rPr>
              <w:t>《单用途商业预付卡管理办法（试行）》第三十三条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pPr>
              <w:autoSpaceDN w:val="0"/>
              <w:spacing w:line="300" w:lineRule="exact"/>
              <w:jc w:val="left"/>
              <w:textAlignment w:val="center"/>
              <w:rPr>
                <w:rFonts w:ascii="宋体" w:hAnsi="宋体" w:eastAsia="宋体"/>
                <w:sz w:val="18"/>
                <w:szCs w:val="18"/>
              </w:rPr>
            </w:pPr>
          </w:p>
        </w:tc>
        <w:tc>
          <w:tcPr>
            <w:tcW w:w="6028" w:type="dxa"/>
            <w:vAlign w:val="center"/>
          </w:tcPr>
          <w:p>
            <w:pPr>
              <w:tabs>
                <w:tab w:val="left" w:pos="7937"/>
              </w:tabs>
              <w:spacing w:line="260" w:lineRule="exact"/>
              <w:rPr>
                <w:rFonts w:ascii="宋体" w:hAnsi="宋体" w:eastAsia="宋体"/>
                <w:sz w:val="18"/>
                <w:szCs w:val="18"/>
              </w:rPr>
            </w:pPr>
            <w:r>
              <w:rPr>
                <w:rFonts w:ascii="宋体" w:hAnsi="宋体" w:eastAsia="宋体"/>
                <w:sz w:val="18"/>
              </w:rPr>
              <w:br w:type="textWrapping"/>
            </w: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ascii="宋体" w:hAnsi="宋体" w:eastAsia="宋体"/>
                <w:spacing w:val="-4"/>
                <w:sz w:val="18"/>
                <w:szCs w:val="18"/>
              </w:rPr>
              <w:t>1.</w:t>
            </w:r>
            <w:r>
              <w:rPr>
                <w:rFonts w:hint="eastAsia" w:ascii="宋体" w:hAnsi="宋体" w:eastAsia="宋体"/>
                <w:spacing w:val="-4"/>
                <w:sz w:val="18"/>
                <w:szCs w:val="18"/>
              </w:rPr>
              <w:t>不</w:t>
            </w:r>
            <w:r>
              <w:rPr>
                <w:rFonts w:hint="eastAsia" w:ascii="宋体" w:hAnsi="宋体" w:eastAsia="宋体"/>
                <w:sz w:val="18"/>
              </w:rPr>
              <w:t>对辖区内发卡企业和售卡企业的单用途卡业务活动、内部控制和风险状况等进行现场及非现场检查</w:t>
            </w:r>
            <w:r>
              <w:rPr>
                <w:rFonts w:hint="eastAsia" w:ascii="宋体" w:hAnsi="宋体" w:eastAsia="宋体"/>
                <w:spacing w:val="-4"/>
                <w:sz w:val="18"/>
                <w:szCs w:val="18"/>
              </w:rPr>
              <w:t>；</w:t>
            </w:r>
          </w:p>
          <w:p>
            <w:pPr>
              <w:spacing w:line="240" w:lineRule="exact"/>
              <w:rPr>
                <w:rFonts w:ascii="宋体" w:hAnsi="宋体" w:eastAsia="宋体"/>
                <w:spacing w:val="-4"/>
                <w:sz w:val="18"/>
                <w:szCs w:val="18"/>
              </w:rPr>
            </w:pPr>
            <w:r>
              <w:rPr>
                <w:rFonts w:ascii="宋体" w:hAnsi="宋体" w:eastAsia="宋体"/>
                <w:spacing w:val="-4"/>
                <w:sz w:val="18"/>
                <w:szCs w:val="18"/>
              </w:rPr>
              <w:t>2.</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4</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790" w:type="dxa"/>
            <w:vAlign w:val="center"/>
          </w:tcPr>
          <w:p>
            <w:pPr>
              <w:spacing w:line="600" w:lineRule="exact"/>
              <w:jc w:val="center"/>
              <w:rPr>
                <w:rFonts w:ascii="仿宋_GB2312"/>
                <w:sz w:val="28"/>
                <w:szCs w:val="28"/>
              </w:rPr>
            </w:pPr>
            <w:r>
              <w:rPr>
                <w:rFonts w:hint="eastAsia" w:ascii="仿宋_GB2312"/>
                <w:sz w:val="28"/>
                <w:szCs w:val="28"/>
              </w:rPr>
              <w:t>34</w:t>
            </w:r>
          </w:p>
        </w:tc>
        <w:tc>
          <w:tcPr>
            <w:tcW w:w="1475" w:type="dxa"/>
            <w:vAlign w:val="center"/>
          </w:tcPr>
          <w:p>
            <w:pPr>
              <w:tabs>
                <w:tab w:val="left" w:pos="7937"/>
              </w:tabs>
              <w:spacing w:line="260" w:lineRule="exact"/>
              <w:rPr>
                <w:rFonts w:ascii="宋体" w:hAnsi="宋体" w:eastAsia="宋体"/>
                <w:sz w:val="18"/>
              </w:rPr>
            </w:pPr>
            <w:r>
              <w:rPr>
                <w:rFonts w:hint="eastAsia" w:ascii="宋体" w:hAnsi="宋体" w:eastAsia="宋体"/>
                <w:sz w:val="18"/>
              </w:rPr>
              <w:t>对报废机动车回收拆解企业的检查</w:t>
            </w:r>
          </w:p>
        </w:tc>
        <w:tc>
          <w:tcPr>
            <w:tcW w:w="4200" w:type="dxa"/>
            <w:vAlign w:val="center"/>
          </w:tcPr>
          <w:p>
            <w:pPr>
              <w:autoSpaceDN w:val="0"/>
              <w:spacing w:line="300" w:lineRule="exact"/>
              <w:jc w:val="left"/>
              <w:textAlignment w:val="center"/>
              <w:rPr>
                <w:rFonts w:ascii="宋体" w:hAnsi="宋体" w:eastAsia="宋体"/>
                <w:sz w:val="18"/>
                <w:szCs w:val="18"/>
              </w:rPr>
            </w:pPr>
            <w:r>
              <w:rPr>
                <w:rFonts w:hint="eastAsia" w:ascii="宋体" w:hAnsi="宋体" w:eastAsia="宋体"/>
                <w:sz w:val="18"/>
              </w:rPr>
              <w:t>国务院《报废机动车回收管理办法》</w:t>
            </w:r>
            <w:r>
              <w:rPr>
                <w:rFonts w:hint="eastAsia" w:ascii="宋体" w:hAnsi="宋体" w:eastAsia="宋体"/>
                <w:bCs/>
                <w:sz w:val="18"/>
                <w:szCs w:val="18"/>
              </w:rPr>
              <w:t>（国务院令第715号）第十六条：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w:t>
            </w:r>
          </w:p>
        </w:tc>
        <w:tc>
          <w:tcPr>
            <w:tcW w:w="6028" w:type="dxa"/>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w:t>
            </w:r>
            <w:r>
              <w:rPr>
                <w:rFonts w:ascii="宋体" w:hAnsi="宋体" w:eastAsia="宋体"/>
                <w:spacing w:val="-4"/>
                <w:sz w:val="18"/>
                <w:szCs w:val="18"/>
              </w:rPr>
              <w:t>.</w:t>
            </w:r>
            <w:r>
              <w:rPr>
                <w:rFonts w:hint="eastAsia" w:ascii="宋体" w:hAnsi="宋体" w:eastAsia="宋体"/>
                <w:spacing w:val="-4"/>
                <w:sz w:val="18"/>
                <w:szCs w:val="18"/>
              </w:rPr>
              <w:t>对在检查中发现的问题，不责令限期改正、不依法实施处罚；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2</w:t>
            </w:r>
            <w:r>
              <w:rPr>
                <w:rFonts w:ascii="宋体" w:hAnsi="宋体" w:eastAsia="宋体"/>
                <w:spacing w:val="-4"/>
                <w:sz w:val="18"/>
                <w:szCs w:val="18"/>
              </w:rPr>
              <w:t>.</w:t>
            </w:r>
            <w:r>
              <w:rPr>
                <w:rFonts w:hint="eastAsia" w:ascii="宋体" w:hAnsi="宋体" w:eastAsia="宋体"/>
                <w:spacing w:val="-4"/>
                <w:sz w:val="18"/>
                <w:szCs w:val="18"/>
              </w:rPr>
              <w:t>对监督检查发现的问题，企业整改完成后，不对整改情况进行核查；</w:t>
            </w:r>
          </w:p>
          <w:p>
            <w:pPr>
              <w:spacing w:line="240" w:lineRule="exact"/>
              <w:rPr>
                <w:rFonts w:ascii="宋体" w:hAnsi="宋体" w:eastAsia="宋体"/>
                <w:sz w:val="18"/>
              </w:rPr>
            </w:pPr>
            <w:r>
              <w:rPr>
                <w:rFonts w:hint="eastAsia" w:ascii="宋体" w:hAnsi="宋体" w:eastAsia="宋体"/>
                <w:spacing w:val="-4"/>
                <w:sz w:val="18"/>
                <w:szCs w:val="18"/>
              </w:rPr>
              <w:t>3</w:t>
            </w:r>
            <w:r>
              <w:rPr>
                <w:rFonts w:ascii="宋体" w:hAnsi="宋体" w:eastAsia="宋体"/>
                <w:spacing w:val="-4"/>
                <w:sz w:val="18"/>
                <w:szCs w:val="18"/>
              </w:rPr>
              <w:t>.</w:t>
            </w:r>
            <w:r>
              <w:rPr>
                <w:rFonts w:hint="eastAsia" w:ascii="宋体" w:hAnsi="宋体" w:eastAsia="宋体"/>
                <w:spacing w:val="-4"/>
                <w:sz w:val="18"/>
                <w:szCs w:val="18"/>
              </w:rPr>
              <w:t>其他违反法律法规规章文件规定的行为。</w:t>
            </w:r>
          </w:p>
          <w:p>
            <w:pPr>
              <w:tabs>
                <w:tab w:val="left" w:pos="7937"/>
              </w:tabs>
              <w:spacing w:line="260" w:lineRule="exact"/>
              <w:rPr>
                <w:rFonts w:ascii="宋体" w:hAnsi="宋体" w:eastAsia="宋体"/>
                <w:sz w:val="18"/>
              </w:rPr>
            </w:pPr>
          </w:p>
        </w:tc>
        <w:tc>
          <w:tcPr>
            <w:tcW w:w="1334"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0"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sz w:val="28"/>
                <w:szCs w:val="28"/>
                <w:lang w:val="en-US"/>
              </w:rPr>
            </w:pPr>
            <w:r>
              <w:rPr>
                <w:rFonts w:hint="eastAsia" w:ascii="仿宋_GB2312"/>
                <w:sz w:val="28"/>
                <w:szCs w:val="28"/>
                <w:vertAlign w:val="baseline"/>
                <w:lang w:val="en-US" w:eastAsia="zh-CN"/>
              </w:rPr>
              <w:t>35</w:t>
            </w:r>
          </w:p>
        </w:tc>
        <w:tc>
          <w:tcPr>
            <w:tcW w:w="1475" w:type="dxa"/>
            <w:vAlign w:val="center"/>
          </w:tcPr>
          <w:p>
            <w:pPr>
              <w:tabs>
                <w:tab w:val="left" w:pos="7937"/>
              </w:tabs>
              <w:spacing w:line="260" w:lineRule="exact"/>
              <w:rPr>
                <w:rFonts w:hint="eastAsia" w:ascii="宋体" w:hAnsi="宋体" w:eastAsia="宋体"/>
                <w:bCs/>
                <w:sz w:val="18"/>
                <w:szCs w:val="18"/>
              </w:rPr>
            </w:pPr>
            <w:r>
              <w:rPr>
                <w:rFonts w:hint="eastAsia" w:ascii="宋体" w:hAnsi="宋体" w:eastAsia="宋体"/>
                <w:sz w:val="18"/>
              </w:rPr>
              <w:t>单用途商业预付卡规模发卡企业备案</w:t>
            </w:r>
          </w:p>
        </w:tc>
        <w:tc>
          <w:tcPr>
            <w:tcW w:w="4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bCs/>
                <w:sz w:val="18"/>
                <w:szCs w:val="18"/>
                <w:lang w:eastAsia="zh-CN"/>
              </w:rPr>
            </w:pPr>
            <w:r>
              <w:rPr>
                <w:rFonts w:hint="eastAsia" w:ascii="宋体" w:hAnsi="宋体" w:eastAsia="宋体"/>
                <w:sz w:val="18"/>
              </w:rPr>
              <w:t>《</w:t>
            </w:r>
            <w:r>
              <w:rPr>
                <w:rFonts w:hint="eastAsia" w:ascii="宋体" w:hAnsi="宋体" w:eastAsia="宋体"/>
                <w:sz w:val="18"/>
                <w:szCs w:val="18"/>
              </w:rPr>
              <w:t>单用途商业预付卡管理办法（试行）》</w:t>
            </w:r>
            <w:r>
              <w:rPr>
                <w:rFonts w:hint="eastAsia" w:ascii="宋体" w:hAnsi="宋体" w:eastAsia="宋体" w:cs="宋体"/>
                <w:kern w:val="0"/>
                <w:sz w:val="18"/>
                <w:szCs w:val="18"/>
              </w:rPr>
              <w:t>第七条 发卡企业应在开展单用途卡业务之日起30日内按照下列规定办理备案：（二） 规模发卡企业向其工商登记注册地设区的市人民政府商务主管部门备案</w:t>
            </w:r>
            <w:r>
              <w:rPr>
                <w:rFonts w:hint="eastAsia" w:ascii="宋体" w:hAnsi="宋体" w:eastAsia="宋体" w:cs="宋体"/>
                <w:kern w:val="0"/>
                <w:sz w:val="18"/>
                <w:szCs w:val="18"/>
                <w:lang w:eastAsia="zh-CN"/>
              </w:rPr>
              <w:t>。</w:t>
            </w:r>
          </w:p>
        </w:tc>
        <w:tc>
          <w:tcPr>
            <w:tcW w:w="6028" w:type="dxa"/>
            <w:vAlign w:val="center"/>
          </w:tcPr>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1、无正当理由拒绝受理依法提出的单用途商业预付卡发卡企业备案请求的；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2、审核中有</w:t>
            </w:r>
            <w:r>
              <w:rPr>
                <w:rFonts w:hint="eastAsia" w:ascii="宋体" w:hAnsi="宋体" w:eastAsia="宋体"/>
                <w:sz w:val="18"/>
                <w:szCs w:val="18"/>
                <w:lang w:eastAsia="zh-CN"/>
              </w:rPr>
              <w:t>徇私舞弊</w:t>
            </w:r>
            <w:r>
              <w:rPr>
                <w:rFonts w:hint="eastAsia" w:ascii="宋体" w:hAnsi="宋体" w:eastAsia="宋体"/>
                <w:sz w:val="18"/>
                <w:szCs w:val="18"/>
              </w:rPr>
              <w:t>或者有其他渎职、失职行为的；</w:t>
            </w:r>
          </w:p>
          <w:p>
            <w:pPr>
              <w:tabs>
                <w:tab w:val="left" w:pos="7937"/>
              </w:tabs>
              <w:spacing w:line="260" w:lineRule="exact"/>
              <w:rPr>
                <w:rFonts w:hint="eastAsia" w:ascii="宋体" w:hAnsi="宋体" w:eastAsia="宋体"/>
                <w:sz w:val="18"/>
                <w:szCs w:val="18"/>
              </w:rPr>
            </w:pPr>
            <w:r>
              <w:rPr>
                <w:rFonts w:hint="eastAsia" w:ascii="宋体" w:hAnsi="宋体" w:eastAsia="宋体"/>
                <w:sz w:val="18"/>
                <w:szCs w:val="18"/>
              </w:rPr>
              <w:t>3、不在法定期限内作出单用途预付卡发卡企业备案决定的；</w:t>
            </w:r>
          </w:p>
          <w:p>
            <w:pPr>
              <w:tabs>
                <w:tab w:val="left" w:pos="7937"/>
              </w:tabs>
              <w:spacing w:line="260" w:lineRule="exact"/>
              <w:rPr>
                <w:rFonts w:hint="eastAsia" w:ascii="宋体" w:hAnsi="宋体" w:eastAsia="宋体"/>
                <w:bCs/>
                <w:sz w:val="18"/>
                <w:szCs w:val="18"/>
                <w:lang w:val="en-US" w:eastAsia="zh-CN"/>
              </w:rPr>
            </w:pPr>
            <w:r>
              <w:rPr>
                <w:rFonts w:hint="eastAsia" w:ascii="宋体" w:hAnsi="宋体" w:eastAsia="宋体"/>
                <w:sz w:val="18"/>
                <w:szCs w:val="18"/>
              </w:rPr>
              <w:t>4、其他违反法律法规规章文件规定的行为。</w:t>
            </w:r>
          </w:p>
        </w:tc>
        <w:tc>
          <w:tcPr>
            <w:tcW w:w="1334" w:type="dxa"/>
            <w:vAlign w:val="center"/>
          </w:tcPr>
          <w:p>
            <w:pPr>
              <w:tabs>
                <w:tab w:val="left" w:pos="7937"/>
              </w:tabs>
              <w:spacing w:line="260" w:lineRule="exact"/>
              <w:rPr>
                <w:rFonts w:ascii="仿宋_GB2312"/>
              </w:rPr>
            </w:pP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27529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52EA"/>
    <w:rsid w:val="006252EA"/>
    <w:rsid w:val="00717C36"/>
    <w:rsid w:val="00793AEF"/>
    <w:rsid w:val="00F77FEC"/>
    <w:rsid w:val="033C0251"/>
    <w:rsid w:val="05FB36F8"/>
    <w:rsid w:val="0911494E"/>
    <w:rsid w:val="0E8A5E7D"/>
    <w:rsid w:val="12C93858"/>
    <w:rsid w:val="162C12F4"/>
    <w:rsid w:val="1A243191"/>
    <w:rsid w:val="1A5738DC"/>
    <w:rsid w:val="1C49675B"/>
    <w:rsid w:val="1E170EFD"/>
    <w:rsid w:val="1E2E6819"/>
    <w:rsid w:val="1F157B94"/>
    <w:rsid w:val="207154E4"/>
    <w:rsid w:val="299211F6"/>
    <w:rsid w:val="2BDC3A01"/>
    <w:rsid w:val="2E4C7DAA"/>
    <w:rsid w:val="2F300E4E"/>
    <w:rsid w:val="2FD4651E"/>
    <w:rsid w:val="30752B2A"/>
    <w:rsid w:val="31E93328"/>
    <w:rsid w:val="349937CC"/>
    <w:rsid w:val="38483B12"/>
    <w:rsid w:val="3A884E54"/>
    <w:rsid w:val="3AE57A1F"/>
    <w:rsid w:val="3AFF3610"/>
    <w:rsid w:val="3DD975EF"/>
    <w:rsid w:val="410D74C7"/>
    <w:rsid w:val="443F7A23"/>
    <w:rsid w:val="46B87C89"/>
    <w:rsid w:val="46EC4CC4"/>
    <w:rsid w:val="486A567B"/>
    <w:rsid w:val="49ED7762"/>
    <w:rsid w:val="4ABE75BD"/>
    <w:rsid w:val="4C5F4138"/>
    <w:rsid w:val="4C967706"/>
    <w:rsid w:val="4DF87B0A"/>
    <w:rsid w:val="51A62594"/>
    <w:rsid w:val="54790105"/>
    <w:rsid w:val="5B9B0222"/>
    <w:rsid w:val="5D9D73C4"/>
    <w:rsid w:val="5DE431D2"/>
    <w:rsid w:val="5E7914CB"/>
    <w:rsid w:val="615511AF"/>
    <w:rsid w:val="62666083"/>
    <w:rsid w:val="62CD5CCD"/>
    <w:rsid w:val="6587539A"/>
    <w:rsid w:val="67C6345C"/>
    <w:rsid w:val="68186EA0"/>
    <w:rsid w:val="69ED1107"/>
    <w:rsid w:val="6BBC6225"/>
    <w:rsid w:val="6C6450DD"/>
    <w:rsid w:val="6E80248C"/>
    <w:rsid w:val="6F0E376B"/>
    <w:rsid w:val="738A3291"/>
    <w:rsid w:val="750A6DAF"/>
    <w:rsid w:val="75340043"/>
    <w:rsid w:val="761F2F14"/>
    <w:rsid w:val="78FC1B1D"/>
    <w:rsid w:val="79157C71"/>
    <w:rsid w:val="793572FA"/>
    <w:rsid w:val="7A096DC7"/>
    <w:rsid w:val="7ACA4FCA"/>
    <w:rsid w:val="7C9C6BB3"/>
    <w:rsid w:val="7E18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heme="minorBidi"/>
      <w:kern w:val="2"/>
      <w:sz w:val="18"/>
      <w:szCs w:val="18"/>
    </w:rPr>
  </w:style>
  <w:style w:type="character" w:customStyle="1" w:styleId="7">
    <w:name w:val="页脚 Char"/>
    <w:basedOn w:val="5"/>
    <w:link w:val="2"/>
    <w:qFormat/>
    <w:uiPriority w:val="99"/>
    <w:rPr>
      <w:rFonts w:ascii="Times New Roman" w:hAnsi="Times New Roman" w:eastAsia="仿宋_GB2312"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3292</Words>
  <Characters>18766</Characters>
  <Lines>156</Lines>
  <Paragraphs>44</Paragraphs>
  <TotalTime>2</TotalTime>
  <ScaleCrop>false</ScaleCrop>
  <LinksUpToDate>false</LinksUpToDate>
  <CharactersWithSpaces>22014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2023-11-17T08:14:42Z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F76F736582334237BCA4836282BCE0C6</vt:lpwstr>
  </property>
</Properties>
</file>