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sz w:val="36"/>
        </w:rPr>
      </w:pPr>
      <w:r>
        <w:rPr>
          <w:rFonts w:hint="eastAsia" w:ascii="方正小标宋简体" w:hAnsi="方正小标宋简体" w:eastAsia="方正小标宋简体"/>
          <w:sz w:val="36"/>
        </w:rPr>
        <w:t>玉田县商务和投资促进局权责清单事项分表</w:t>
      </w:r>
    </w:p>
    <w:p>
      <w:pPr>
        <w:spacing w:line="600" w:lineRule="exact"/>
        <w:jc w:val="center"/>
        <w:rPr>
          <w:rFonts w:ascii="楷体_GB2312" w:hAnsi="楷体_GB2312" w:eastAsia="楷体_GB2312"/>
          <w:sz w:val="36"/>
        </w:rPr>
      </w:pPr>
      <w:r>
        <w:rPr>
          <w:rFonts w:hint="eastAsia" w:ascii="楷体_GB2312" w:hAnsi="楷体_GB2312" w:eastAsia="楷体_GB2312"/>
        </w:rPr>
        <w:t>（共</w:t>
      </w:r>
      <w:r>
        <w:rPr>
          <w:rFonts w:hint="eastAsia" w:ascii="楷体_GB2312" w:hAnsi="楷体_GB2312" w:eastAsia="楷体_GB2312"/>
          <w:lang w:val="en-US" w:eastAsia="zh-CN"/>
        </w:rPr>
        <w:t>3</w:t>
      </w:r>
      <w:r>
        <w:rPr>
          <w:rFonts w:hint="eastAsia" w:ascii="楷体_GB2312" w:hAnsi="楷体_GB2312" w:eastAsia="楷体_GB2312"/>
        </w:rPr>
        <w:t>类、3</w:t>
      </w:r>
      <w:r>
        <w:rPr>
          <w:rFonts w:hint="eastAsia" w:ascii="楷体_GB2312" w:hAnsi="楷体_GB2312" w:eastAsia="楷体_GB2312"/>
          <w:lang w:val="en-US" w:eastAsia="zh-CN"/>
        </w:rPr>
        <w:t>5</w:t>
      </w:r>
      <w:r>
        <w:rPr>
          <w:rFonts w:hint="eastAsia" w:ascii="楷体_GB2312" w:hAnsi="楷体_GB2312" w:eastAsia="楷体_GB2312"/>
        </w:rPr>
        <w:t>项）</w:t>
      </w:r>
    </w:p>
    <w:p>
      <w:pPr>
        <w:spacing w:line="600" w:lineRule="exact"/>
        <w:rPr>
          <w:rFonts w:ascii="仿宋_GB2312"/>
        </w:rPr>
      </w:pPr>
      <w:r>
        <w:rPr>
          <w:rFonts w:hint="eastAsia" w:ascii="楷体_GB2312" w:hAnsi="楷体_GB2312" w:eastAsia="楷体_GB2312"/>
          <w:sz w:val="28"/>
        </w:rPr>
        <w:t>单位：玉田县商务和投资促进局</w:t>
      </w:r>
      <w:r>
        <w:rPr>
          <w:rFonts w:hint="eastAsia" w:ascii="楷体_GB2312" w:hAnsi="楷体_GB2312" w:eastAsia="楷体_GB2312" w:cs="Arial"/>
          <w:sz w:val="28"/>
        </w:rPr>
        <w:t>（公章）</w:t>
      </w:r>
    </w:p>
    <w:tbl>
      <w:tblPr>
        <w:tblStyle w:val="4"/>
        <w:tblW w:w="13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213"/>
        <w:gridCol w:w="1875"/>
        <w:gridCol w:w="1300"/>
        <w:gridCol w:w="1914"/>
        <w:gridCol w:w="3434"/>
        <w:gridCol w:w="232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52" w:type="dxa"/>
            <w:vAlign w:val="center"/>
          </w:tcPr>
          <w:p>
            <w:pPr>
              <w:autoSpaceDN w:val="0"/>
              <w:spacing w:line="300" w:lineRule="exact"/>
              <w:jc w:val="center"/>
              <w:textAlignment w:val="center"/>
              <w:rPr>
                <w:rFonts w:ascii="仿宋_GB2312"/>
              </w:rPr>
            </w:pPr>
            <w:r>
              <w:rPr>
                <w:rFonts w:ascii="黑体" w:hAnsi="黑体" w:eastAsia="黑体"/>
                <w:color w:val="000000"/>
                <w:sz w:val="24"/>
              </w:rPr>
              <w:t>序号</w:t>
            </w:r>
          </w:p>
        </w:tc>
        <w:tc>
          <w:tcPr>
            <w:tcW w:w="1213" w:type="dxa"/>
            <w:vAlign w:val="center"/>
          </w:tcPr>
          <w:p>
            <w:pPr>
              <w:autoSpaceDN w:val="0"/>
              <w:spacing w:line="300" w:lineRule="exact"/>
              <w:jc w:val="center"/>
              <w:textAlignment w:val="center"/>
              <w:rPr>
                <w:rFonts w:ascii="仿宋_GB2312"/>
              </w:rPr>
            </w:pPr>
            <w:r>
              <w:rPr>
                <w:rFonts w:ascii="黑体" w:hAnsi="黑体" w:eastAsia="黑体"/>
                <w:color w:val="000000"/>
                <w:sz w:val="24"/>
              </w:rPr>
              <w:t>权力类型</w:t>
            </w:r>
          </w:p>
        </w:tc>
        <w:tc>
          <w:tcPr>
            <w:tcW w:w="1875" w:type="dxa"/>
            <w:vAlign w:val="center"/>
          </w:tcPr>
          <w:p>
            <w:pPr>
              <w:autoSpaceDN w:val="0"/>
              <w:spacing w:line="300" w:lineRule="exact"/>
              <w:jc w:val="center"/>
              <w:textAlignment w:val="center"/>
              <w:rPr>
                <w:rFonts w:ascii="仿宋_GB2312"/>
              </w:rPr>
            </w:pPr>
            <w:r>
              <w:rPr>
                <w:rFonts w:ascii="黑体" w:hAnsi="黑体" w:eastAsia="黑体"/>
                <w:color w:val="000000"/>
                <w:sz w:val="24"/>
              </w:rPr>
              <w:t>权力事项</w:t>
            </w:r>
          </w:p>
        </w:tc>
        <w:tc>
          <w:tcPr>
            <w:tcW w:w="1300" w:type="dxa"/>
            <w:vAlign w:val="center"/>
          </w:tcPr>
          <w:p>
            <w:pPr>
              <w:autoSpaceDN w:val="0"/>
              <w:spacing w:line="300" w:lineRule="exact"/>
              <w:jc w:val="center"/>
              <w:textAlignment w:val="center"/>
              <w:rPr>
                <w:rFonts w:ascii="仿宋_GB2312"/>
              </w:rPr>
            </w:pPr>
            <w:r>
              <w:rPr>
                <w:rFonts w:ascii="黑体" w:hAnsi="黑体" w:eastAsia="黑体"/>
                <w:color w:val="000000"/>
                <w:sz w:val="24"/>
              </w:rPr>
              <w:t>行政主体</w:t>
            </w:r>
          </w:p>
        </w:tc>
        <w:tc>
          <w:tcPr>
            <w:tcW w:w="1914" w:type="dxa"/>
            <w:vAlign w:val="center"/>
          </w:tcPr>
          <w:p>
            <w:pPr>
              <w:autoSpaceDN w:val="0"/>
              <w:spacing w:line="300" w:lineRule="exact"/>
              <w:jc w:val="center"/>
              <w:textAlignment w:val="center"/>
              <w:rPr>
                <w:rFonts w:ascii="仿宋_GB2312"/>
              </w:rPr>
            </w:pPr>
            <w:r>
              <w:rPr>
                <w:rFonts w:ascii="黑体" w:hAnsi="黑体" w:eastAsia="黑体"/>
                <w:color w:val="000000"/>
                <w:sz w:val="24"/>
              </w:rPr>
              <w:t>实施依据</w:t>
            </w:r>
          </w:p>
        </w:tc>
        <w:tc>
          <w:tcPr>
            <w:tcW w:w="3434" w:type="dxa"/>
            <w:vAlign w:val="center"/>
          </w:tcPr>
          <w:p>
            <w:pPr>
              <w:autoSpaceDN w:val="0"/>
              <w:spacing w:line="300" w:lineRule="exact"/>
              <w:jc w:val="center"/>
              <w:textAlignment w:val="center"/>
              <w:rPr>
                <w:rFonts w:ascii="仿宋_GB2312"/>
              </w:rPr>
            </w:pPr>
            <w:r>
              <w:rPr>
                <w:rFonts w:ascii="黑体" w:hAnsi="黑体" w:eastAsia="黑体"/>
                <w:color w:val="000000"/>
                <w:sz w:val="24"/>
              </w:rPr>
              <w:t>责任事项</w:t>
            </w:r>
          </w:p>
        </w:tc>
        <w:tc>
          <w:tcPr>
            <w:tcW w:w="2325" w:type="dxa"/>
            <w:vAlign w:val="center"/>
          </w:tcPr>
          <w:p>
            <w:pPr>
              <w:autoSpaceDN w:val="0"/>
              <w:spacing w:line="300" w:lineRule="exact"/>
              <w:jc w:val="center"/>
              <w:textAlignment w:val="center"/>
              <w:rPr>
                <w:rFonts w:ascii="仿宋_GB2312"/>
              </w:rPr>
            </w:pPr>
            <w:r>
              <w:rPr>
                <w:rFonts w:ascii="黑体" w:hAnsi="黑体" w:eastAsia="黑体"/>
                <w:color w:val="000000"/>
                <w:sz w:val="24"/>
              </w:rPr>
              <w:t>追责情形</w:t>
            </w:r>
          </w:p>
        </w:tc>
        <w:tc>
          <w:tcPr>
            <w:tcW w:w="1002" w:type="dxa"/>
            <w:vAlign w:val="center"/>
          </w:tcPr>
          <w:p>
            <w:pPr>
              <w:autoSpaceDN w:val="0"/>
              <w:spacing w:line="300" w:lineRule="exact"/>
              <w:jc w:val="center"/>
              <w:textAlignment w:val="center"/>
              <w:rPr>
                <w:rFonts w:ascii="仿宋_GB2312"/>
              </w:rPr>
            </w:pPr>
            <w:r>
              <w:rPr>
                <w:rFonts w:ascii="黑体" w:hAnsi="黑体" w:eastAsia="黑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0" w:hRule="exact"/>
        </w:trPr>
        <w:tc>
          <w:tcPr>
            <w:tcW w:w="7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w:t>
            </w:r>
          </w:p>
        </w:tc>
        <w:tc>
          <w:tcPr>
            <w:tcW w:w="1213"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行政处罚</w:t>
            </w:r>
          </w:p>
        </w:tc>
        <w:tc>
          <w:tcPr>
            <w:tcW w:w="187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零售商滥用优势地位从事不公平交易行为的处罚</w:t>
            </w:r>
          </w:p>
        </w:tc>
        <w:tc>
          <w:tcPr>
            <w:tcW w:w="1300" w:type="dxa"/>
            <w:vAlign w:val="center"/>
          </w:tcPr>
          <w:p>
            <w:pPr>
              <w:tabs>
                <w:tab w:val="left" w:pos="7937"/>
              </w:tabs>
              <w:spacing w:line="200" w:lineRule="exact"/>
              <w:jc w:val="left"/>
              <w:rPr>
                <w:rFonts w:ascii="宋体" w:hAnsi="宋体" w:eastAsia="宋体"/>
                <w:sz w:val="18"/>
                <w:szCs w:val="18"/>
              </w:rPr>
            </w:pPr>
            <w:r>
              <w:rPr>
                <w:rFonts w:ascii="宋体" w:hAnsi="宋体" w:eastAsia="宋体"/>
                <w:sz w:val="18"/>
                <w:szCs w:val="18"/>
              </w:rPr>
              <w:t>玉田县商务和投资促进局</w:t>
            </w:r>
          </w:p>
        </w:tc>
        <w:tc>
          <w:tcPr>
            <w:tcW w:w="191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零售商供应商公平交易管理办法》（商务部、国家发展和改革委员会、公安部、国家税务总局、国家工商行政管理总局令2006年第17号）第六条、第二十三条：法律法规有规定的，从其规定；没有规定的，责令改正；有违法所得的，可处违法所得三倍以下罚款，但最高不超过三万元；没有违法所得的，可处一万元以下罚款；并可向社会公告。</w:t>
            </w:r>
          </w:p>
          <w:p>
            <w:pPr>
              <w:tabs>
                <w:tab w:val="left" w:pos="7937"/>
              </w:tabs>
              <w:spacing w:line="200" w:lineRule="exact"/>
              <w:jc w:val="left"/>
              <w:rPr>
                <w:rFonts w:ascii="宋体" w:hAnsi="宋体" w:eastAsia="宋体"/>
                <w:sz w:val="18"/>
                <w:szCs w:val="18"/>
              </w:rPr>
            </w:pPr>
          </w:p>
        </w:tc>
        <w:tc>
          <w:tcPr>
            <w:tcW w:w="343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1、立案责任：零售商涉嫌滥用优势地位从事不公平交易行为的，予以审查，决定是否立案。</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7、执行责任：依照生效的行政处罚决定责令改正；有违法所得的，可处违法所得三倍以下罚款，但最高不超过三万元；没有违法所得的，可处一万元以下罚款；并可向社会公告。</w:t>
            </w:r>
          </w:p>
          <w:p>
            <w:pPr>
              <w:tabs>
                <w:tab w:val="left" w:pos="7937"/>
              </w:tabs>
              <w:spacing w:line="200" w:lineRule="exact"/>
              <w:jc w:val="left"/>
              <w:rPr>
                <w:rFonts w:ascii="宋体" w:hAnsi="宋体" w:eastAsia="宋体"/>
                <w:sz w:val="16"/>
                <w:szCs w:val="16"/>
              </w:rPr>
            </w:pPr>
            <w:r>
              <w:rPr>
                <w:rFonts w:hint="eastAsia" w:ascii="宋体" w:hAnsi="宋体" w:eastAsia="宋体"/>
                <w:sz w:val="18"/>
                <w:szCs w:val="18"/>
              </w:rPr>
              <w:t>8、其他法律法规规章文件规定应履行的责任。</w:t>
            </w:r>
          </w:p>
        </w:tc>
        <w:tc>
          <w:tcPr>
            <w:tcW w:w="232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3、对违反本办法规定的行为任何单位和个人均可向上述部门举报，相关部门接到举报后，应当依法予以查处。</w:t>
            </w:r>
            <w:r>
              <w:rPr>
                <w:rFonts w:hint="eastAsia" w:ascii="宋体" w:hAnsi="宋体" w:eastAsia="宋体"/>
                <w:sz w:val="18"/>
                <w:szCs w:val="18"/>
              </w:rPr>
              <w:br w:type="textWrapping"/>
            </w:r>
            <w:r>
              <w:rPr>
                <w:rFonts w:hint="eastAsia" w:ascii="宋体" w:hAnsi="宋体" w:eastAsia="宋体"/>
                <w:sz w:val="18"/>
                <w:szCs w:val="18"/>
              </w:rPr>
              <w:t>4、不具备行政执法资格实施行政处罚的；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5、应当依法移送追究刑事责任，而未依法移送有权机关的；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11、其他违反法律法规规章文件规定的行为。</w:t>
            </w:r>
          </w:p>
        </w:tc>
        <w:tc>
          <w:tcPr>
            <w:tcW w:w="1002" w:type="dxa"/>
            <w:vAlign w:val="center"/>
          </w:tcPr>
          <w:p>
            <w:pPr>
              <w:tabs>
                <w:tab w:val="left" w:pos="7937"/>
              </w:tabs>
              <w:spacing w:line="200" w:lineRule="exact"/>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0" w:hRule="exact"/>
        </w:trPr>
        <w:tc>
          <w:tcPr>
            <w:tcW w:w="7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2</w:t>
            </w:r>
          </w:p>
        </w:tc>
        <w:tc>
          <w:tcPr>
            <w:tcW w:w="1213"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行政处罚</w:t>
            </w:r>
          </w:p>
        </w:tc>
        <w:tc>
          <w:tcPr>
            <w:tcW w:w="187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零售商收取促销服务费后，未按合同约定向供应商提供相应的服务，擅自终止服务或降低法务标准，并拒绝向供应商发还未提供服务部分费用的处罚</w:t>
            </w:r>
          </w:p>
        </w:tc>
        <w:tc>
          <w:tcPr>
            <w:tcW w:w="1300" w:type="dxa"/>
            <w:vAlign w:val="center"/>
          </w:tcPr>
          <w:p>
            <w:pPr>
              <w:tabs>
                <w:tab w:val="left" w:pos="7937"/>
              </w:tabs>
              <w:spacing w:line="200" w:lineRule="exact"/>
              <w:jc w:val="left"/>
              <w:rPr>
                <w:rFonts w:ascii="宋体" w:hAnsi="宋体" w:eastAsia="宋体"/>
                <w:sz w:val="18"/>
                <w:szCs w:val="18"/>
              </w:rPr>
            </w:pPr>
            <w:r>
              <w:rPr>
                <w:rFonts w:ascii="宋体" w:hAnsi="宋体" w:eastAsia="宋体"/>
                <w:sz w:val="18"/>
                <w:szCs w:val="18"/>
              </w:rPr>
              <w:t>玉田县商务和投资促进局</w:t>
            </w:r>
          </w:p>
        </w:tc>
        <w:tc>
          <w:tcPr>
            <w:tcW w:w="191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《零售商供应商公平</w:t>
            </w:r>
            <w:bookmarkStart w:id="0" w:name="_GoBack"/>
            <w:bookmarkEnd w:id="0"/>
            <w:r>
              <w:rPr>
                <w:rFonts w:hint="eastAsia" w:ascii="宋体" w:hAnsi="宋体" w:eastAsia="宋体"/>
                <w:sz w:val="18"/>
                <w:szCs w:val="18"/>
              </w:rPr>
              <w:t>交易管理办法》（商务部、国家发展和改革委员会、公安部、国家税务总局、国家工商行政管理总局令2006年第17号）第十八条、第二十三条：法律法规有规定的，从其规定；没有规定的，责令改正；有违法所得的，可处违法所得三倍以下罚款，但最高不超过三万元；没有违法所得的，可处一万元以下罚款；并可向社会公告。</w:t>
            </w:r>
          </w:p>
          <w:p>
            <w:pPr>
              <w:tabs>
                <w:tab w:val="left" w:pos="7937"/>
              </w:tabs>
              <w:spacing w:line="200" w:lineRule="exact"/>
              <w:jc w:val="left"/>
              <w:rPr>
                <w:rFonts w:ascii="宋体" w:hAnsi="宋体" w:eastAsia="宋体"/>
                <w:sz w:val="18"/>
                <w:szCs w:val="18"/>
              </w:rPr>
            </w:pPr>
          </w:p>
        </w:tc>
        <w:tc>
          <w:tcPr>
            <w:tcW w:w="343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1、立案责任：零售商涉嫌收取促销服务费后，未按合同约定向供应商提供相应的服务，擅自终止服务或降低法务标准，并拒绝向供应商发还未提供服务部分费用的，予以审查，决定是否立案。</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7、执行责任：依照生效的行政处罚决定责令改正；有违法所得的，可处违法所得三倍以下罚款，但最高不超过三万元；没有违法所得的，可处一万元以下罚款；并可向社会公告。</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32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3、对违反本办法规定的行为任何单位和个人均可向上述部门举报，相关部门接到举报后，应当依法予以查处。</w:t>
            </w:r>
            <w:r>
              <w:rPr>
                <w:rFonts w:hint="eastAsia" w:ascii="宋体" w:hAnsi="宋体" w:eastAsia="宋体"/>
                <w:sz w:val="18"/>
                <w:szCs w:val="18"/>
              </w:rPr>
              <w:br w:type="textWrapping"/>
            </w:r>
            <w:r>
              <w:rPr>
                <w:rFonts w:hint="eastAsia" w:ascii="宋体" w:hAnsi="宋体" w:eastAsia="宋体"/>
                <w:sz w:val="18"/>
                <w:szCs w:val="18"/>
              </w:rPr>
              <w:t>4、不具备行政执法资格实施行政处罚的；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5、应当依法移送追究刑事责任，而未依法移送有权机关的；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11、其他违反法律法规规章文件规定的行为。</w:t>
            </w:r>
          </w:p>
        </w:tc>
        <w:tc>
          <w:tcPr>
            <w:tcW w:w="1002" w:type="dxa"/>
            <w:vAlign w:val="center"/>
          </w:tcPr>
          <w:p>
            <w:pPr>
              <w:tabs>
                <w:tab w:val="left" w:pos="7937"/>
              </w:tabs>
              <w:spacing w:line="200" w:lineRule="exact"/>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0" w:hRule="exact"/>
        </w:trPr>
        <w:tc>
          <w:tcPr>
            <w:tcW w:w="7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3</w:t>
            </w:r>
          </w:p>
        </w:tc>
        <w:tc>
          <w:tcPr>
            <w:tcW w:w="1213"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行政处罚</w:t>
            </w:r>
          </w:p>
        </w:tc>
        <w:tc>
          <w:tcPr>
            <w:tcW w:w="187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零售商违规收费行为的处罚</w:t>
            </w:r>
          </w:p>
        </w:tc>
        <w:tc>
          <w:tcPr>
            <w:tcW w:w="1300" w:type="dxa"/>
            <w:vAlign w:val="center"/>
          </w:tcPr>
          <w:p>
            <w:pPr>
              <w:tabs>
                <w:tab w:val="left" w:pos="7937"/>
              </w:tabs>
              <w:spacing w:line="200" w:lineRule="exact"/>
              <w:jc w:val="left"/>
              <w:rPr>
                <w:rFonts w:ascii="宋体" w:hAnsi="宋体" w:eastAsia="宋体"/>
                <w:sz w:val="18"/>
                <w:szCs w:val="18"/>
              </w:rPr>
            </w:pPr>
            <w:r>
              <w:rPr>
                <w:rFonts w:ascii="宋体" w:hAnsi="宋体" w:eastAsia="宋体"/>
                <w:sz w:val="18"/>
                <w:szCs w:val="18"/>
              </w:rPr>
              <w:t>玉田县商务和投资促进局</w:t>
            </w:r>
          </w:p>
        </w:tc>
        <w:tc>
          <w:tcPr>
            <w:tcW w:w="191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零售商供应商公平交易管理办法》（商务部、国家发展和改革委员会、公安部、国家税务总局、国家工商行政管理总局令2006年第17号）第十八条、第二十三条：法律法规有规定的，从其规定；没有规定的，责令改正；有违法所得的，可处违法所得三倍以下罚款，但最高不超过三万元；没有违法所得的，可处一万元以下罚款；并可向社会公告。</w:t>
            </w:r>
          </w:p>
          <w:p>
            <w:pPr>
              <w:tabs>
                <w:tab w:val="left" w:pos="7937"/>
              </w:tabs>
              <w:spacing w:line="200" w:lineRule="exact"/>
              <w:jc w:val="left"/>
              <w:rPr>
                <w:rFonts w:ascii="宋体" w:hAnsi="宋体" w:eastAsia="宋体"/>
                <w:sz w:val="18"/>
                <w:szCs w:val="18"/>
              </w:rPr>
            </w:pPr>
          </w:p>
        </w:tc>
        <w:tc>
          <w:tcPr>
            <w:tcW w:w="343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1、立案责任：零售商涉嫌违规收费行为的，予以审查，决定是否立案。</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7、执行责任：依照生效的行政处罚决定责令改正；有违法所得的，可处违法所得三倍以下罚款，但最高不超过三万元；没有违法所得的，可处一万元以下罚款；并可向社会公告。</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32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3、对违反本办法规定的行为任何单位和个人均可向上述部门举报，相关部门接到举报后，应当依法予以查处。</w:t>
            </w:r>
            <w:r>
              <w:rPr>
                <w:rFonts w:hint="eastAsia" w:ascii="宋体" w:hAnsi="宋体" w:eastAsia="宋体"/>
                <w:sz w:val="18"/>
                <w:szCs w:val="18"/>
              </w:rPr>
              <w:br w:type="textWrapping"/>
            </w:r>
            <w:r>
              <w:rPr>
                <w:rFonts w:hint="eastAsia" w:ascii="宋体" w:hAnsi="宋体" w:eastAsia="宋体"/>
                <w:sz w:val="18"/>
                <w:szCs w:val="18"/>
              </w:rPr>
              <w:t>4、不具备行政执法资格实施行政处罚的；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5、应当依法移送追究刑事责任，而未依法移送有权机关的；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11、其他违反法律法规规章文件规定的行为。</w:t>
            </w:r>
          </w:p>
        </w:tc>
        <w:tc>
          <w:tcPr>
            <w:tcW w:w="1002" w:type="dxa"/>
            <w:vAlign w:val="center"/>
          </w:tcPr>
          <w:p>
            <w:pPr>
              <w:tabs>
                <w:tab w:val="left" w:pos="7937"/>
              </w:tabs>
              <w:spacing w:line="200" w:lineRule="exact"/>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1" w:hRule="exact"/>
        </w:trPr>
        <w:tc>
          <w:tcPr>
            <w:tcW w:w="7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4</w:t>
            </w:r>
          </w:p>
        </w:tc>
        <w:tc>
          <w:tcPr>
            <w:tcW w:w="1213"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行政处罚</w:t>
            </w:r>
          </w:p>
        </w:tc>
        <w:tc>
          <w:tcPr>
            <w:tcW w:w="187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零售商违规延迟向供应商支付货款行为的处罚</w:t>
            </w:r>
          </w:p>
        </w:tc>
        <w:tc>
          <w:tcPr>
            <w:tcW w:w="1300" w:type="dxa"/>
            <w:vAlign w:val="center"/>
          </w:tcPr>
          <w:p>
            <w:pPr>
              <w:tabs>
                <w:tab w:val="left" w:pos="7937"/>
              </w:tabs>
              <w:spacing w:line="200" w:lineRule="exact"/>
              <w:jc w:val="left"/>
              <w:rPr>
                <w:rFonts w:ascii="宋体" w:hAnsi="宋体" w:eastAsia="宋体"/>
                <w:sz w:val="18"/>
                <w:szCs w:val="18"/>
              </w:rPr>
            </w:pPr>
            <w:r>
              <w:rPr>
                <w:rFonts w:ascii="宋体" w:hAnsi="宋体" w:eastAsia="宋体"/>
                <w:sz w:val="18"/>
                <w:szCs w:val="18"/>
              </w:rPr>
              <w:t>玉田县商务和投资促进局</w:t>
            </w:r>
          </w:p>
        </w:tc>
        <w:tc>
          <w:tcPr>
            <w:tcW w:w="191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零售商供应商公平交易管理办法》（商务部、国家发展和改革委员会、公安部、国家税务总局、国家工商行政管理总局令2006年第17号）第十八条、第二十三条：法律法规有规定的，从其规定；没有规定的，责令改正；有违法所得的，可处违法所得三倍以下罚款，但最高不超过三万元；没有违法所得的，可处一万元以下罚款；并可向社会公告。</w:t>
            </w:r>
          </w:p>
          <w:p>
            <w:pPr>
              <w:tabs>
                <w:tab w:val="left" w:pos="7937"/>
              </w:tabs>
              <w:spacing w:line="200" w:lineRule="exact"/>
              <w:jc w:val="left"/>
              <w:rPr>
                <w:rFonts w:ascii="宋体" w:hAnsi="宋体" w:eastAsia="宋体"/>
                <w:sz w:val="18"/>
                <w:szCs w:val="18"/>
              </w:rPr>
            </w:pPr>
          </w:p>
        </w:tc>
        <w:tc>
          <w:tcPr>
            <w:tcW w:w="343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1、立案责任：零售商涉嫌违规延迟向供应商支付货款行为的，予以审查，决定是否立案。</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7、执行责任：依照生效的行政处罚决定责令改正；有违法所得的，可处违法所得三倍以下罚款，但最高不超过三万元；没有违法所得的，可处一万元以下罚款；并可向社会公告。</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32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3、对违反本办法规定的行为任何单位和个人均可向上述部门举报，相关部门接到举报后，应当依法予以查处。</w:t>
            </w:r>
            <w:r>
              <w:rPr>
                <w:rFonts w:hint="eastAsia" w:ascii="宋体" w:hAnsi="宋体" w:eastAsia="宋体"/>
                <w:sz w:val="18"/>
                <w:szCs w:val="18"/>
              </w:rPr>
              <w:br w:type="textWrapping"/>
            </w:r>
            <w:r>
              <w:rPr>
                <w:rFonts w:hint="eastAsia" w:ascii="宋体" w:hAnsi="宋体" w:eastAsia="宋体"/>
                <w:sz w:val="18"/>
                <w:szCs w:val="18"/>
              </w:rPr>
              <w:t>4、不具备行政执法资格实施行政处罚的；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5、应当依法移送追究刑事责任，而未依法移送有权机关的；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11、其他违反法律法规规章文件规定的行为。</w:t>
            </w:r>
          </w:p>
        </w:tc>
        <w:tc>
          <w:tcPr>
            <w:tcW w:w="1002" w:type="dxa"/>
            <w:vAlign w:val="center"/>
          </w:tcPr>
          <w:p>
            <w:pPr>
              <w:tabs>
                <w:tab w:val="left" w:pos="7937"/>
              </w:tabs>
              <w:spacing w:line="200" w:lineRule="exact"/>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5" w:hRule="exact"/>
        </w:trPr>
        <w:tc>
          <w:tcPr>
            <w:tcW w:w="7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5</w:t>
            </w:r>
          </w:p>
        </w:tc>
        <w:tc>
          <w:tcPr>
            <w:tcW w:w="1213"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行政处罚</w:t>
            </w:r>
          </w:p>
        </w:tc>
        <w:tc>
          <w:tcPr>
            <w:tcW w:w="187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供应商供货时，强行搭售零售商未定购商品的处罚</w:t>
            </w:r>
          </w:p>
        </w:tc>
        <w:tc>
          <w:tcPr>
            <w:tcW w:w="1300" w:type="dxa"/>
            <w:vAlign w:val="center"/>
          </w:tcPr>
          <w:p>
            <w:pPr>
              <w:tabs>
                <w:tab w:val="left" w:pos="7937"/>
              </w:tabs>
              <w:spacing w:line="200" w:lineRule="exact"/>
              <w:jc w:val="left"/>
              <w:rPr>
                <w:rFonts w:ascii="宋体" w:hAnsi="宋体" w:eastAsia="宋体"/>
                <w:sz w:val="18"/>
                <w:szCs w:val="18"/>
              </w:rPr>
            </w:pPr>
            <w:r>
              <w:rPr>
                <w:rFonts w:ascii="宋体" w:hAnsi="宋体" w:eastAsia="宋体"/>
                <w:sz w:val="18"/>
                <w:szCs w:val="18"/>
              </w:rPr>
              <w:t>玉田县商务和投资促进局</w:t>
            </w:r>
          </w:p>
        </w:tc>
        <w:tc>
          <w:tcPr>
            <w:tcW w:w="191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零售商供应商公平交易管理办法》（商务部、国家发展和改革委员会、公安部、国家税务总局、国家工商行政管理总局令2006年第17号）第十八条、第二十三条：法律法规有规定的，从其规定；没有规定的，责令改正；有违法所得的，可处违法所得三倍以下罚款，但最高不超过三万元；没有违法所得的，可处一万元以下罚款；并可向社会公告。</w:t>
            </w:r>
          </w:p>
          <w:p>
            <w:pPr>
              <w:tabs>
                <w:tab w:val="left" w:pos="7937"/>
              </w:tabs>
              <w:spacing w:line="200" w:lineRule="exact"/>
              <w:jc w:val="left"/>
              <w:rPr>
                <w:rFonts w:ascii="宋体" w:hAnsi="宋体" w:eastAsia="宋体"/>
                <w:sz w:val="18"/>
                <w:szCs w:val="18"/>
              </w:rPr>
            </w:pPr>
          </w:p>
        </w:tc>
        <w:tc>
          <w:tcPr>
            <w:tcW w:w="343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1、立案责任：供应商供货时，涉嫌强行搭售零售商未定购商品的，予以审查，决定是否立案。</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7、执行责任：依照生效的行政处罚决定责令改正；有违法所得的，可处违法所得三倍以下罚款，但最高不超过三万元；没有违法所得的，可处一万元以下罚款；并可向社会公告。</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32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3、对违反本办法规定的行为任何单位和个人均可向上述部门举报，相关部门接到举报后，应当依法予以查处。</w:t>
            </w:r>
            <w:r>
              <w:rPr>
                <w:rFonts w:hint="eastAsia" w:ascii="宋体" w:hAnsi="宋体" w:eastAsia="宋体"/>
                <w:sz w:val="18"/>
                <w:szCs w:val="18"/>
              </w:rPr>
              <w:br w:type="textWrapping"/>
            </w:r>
            <w:r>
              <w:rPr>
                <w:rFonts w:hint="eastAsia" w:ascii="宋体" w:hAnsi="宋体" w:eastAsia="宋体"/>
                <w:sz w:val="18"/>
                <w:szCs w:val="18"/>
              </w:rPr>
              <w:t>4、不具备行政执法资格实施行政处罚的；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5、应当依法移送追究刑事责任，而未依法移送有权机关的；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11、其他违反法律法规规章文件规定的行为。</w:t>
            </w:r>
          </w:p>
        </w:tc>
        <w:tc>
          <w:tcPr>
            <w:tcW w:w="1002" w:type="dxa"/>
            <w:vAlign w:val="center"/>
          </w:tcPr>
          <w:p>
            <w:pPr>
              <w:tabs>
                <w:tab w:val="left" w:pos="7937"/>
              </w:tabs>
              <w:spacing w:line="200" w:lineRule="exact"/>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0" w:hRule="exact"/>
        </w:trPr>
        <w:tc>
          <w:tcPr>
            <w:tcW w:w="7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6</w:t>
            </w:r>
          </w:p>
        </w:tc>
        <w:tc>
          <w:tcPr>
            <w:tcW w:w="1213"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行政处罚</w:t>
            </w:r>
          </w:p>
        </w:tc>
        <w:tc>
          <w:tcPr>
            <w:tcW w:w="187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供应商供货时，限制零售商销售其他供应商商品的处罚</w:t>
            </w:r>
          </w:p>
        </w:tc>
        <w:tc>
          <w:tcPr>
            <w:tcW w:w="1300" w:type="dxa"/>
            <w:vAlign w:val="center"/>
          </w:tcPr>
          <w:p>
            <w:pPr>
              <w:tabs>
                <w:tab w:val="left" w:pos="7937"/>
              </w:tabs>
              <w:spacing w:line="200" w:lineRule="exact"/>
              <w:jc w:val="left"/>
              <w:rPr>
                <w:rFonts w:ascii="宋体" w:hAnsi="宋体" w:eastAsia="宋体"/>
                <w:sz w:val="18"/>
                <w:szCs w:val="18"/>
              </w:rPr>
            </w:pPr>
            <w:r>
              <w:rPr>
                <w:rFonts w:ascii="宋体" w:hAnsi="宋体" w:eastAsia="宋体"/>
                <w:sz w:val="18"/>
                <w:szCs w:val="18"/>
              </w:rPr>
              <w:t>玉田县商务和投资促进局</w:t>
            </w:r>
          </w:p>
        </w:tc>
        <w:tc>
          <w:tcPr>
            <w:tcW w:w="191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零售商供应商公平交易管理办法》（商务部、国家发展和改革委员会、公安部、国家税务总局、国家工商行政管理总局令2006年第17号）第十八条、第二十三条：法律法规有规定的，从其规定；没有规定的，责令改正；有违法所得的，可处违法所得三倍以下罚款，但最高不超过三万元；没有违法所得的，可处一万元以下罚款；并可向社会公告。</w:t>
            </w:r>
          </w:p>
          <w:p>
            <w:pPr>
              <w:tabs>
                <w:tab w:val="left" w:pos="7937"/>
              </w:tabs>
              <w:spacing w:line="200" w:lineRule="exact"/>
              <w:jc w:val="left"/>
              <w:rPr>
                <w:rFonts w:ascii="宋体" w:hAnsi="宋体" w:eastAsia="宋体"/>
                <w:sz w:val="18"/>
                <w:szCs w:val="18"/>
              </w:rPr>
            </w:pPr>
          </w:p>
        </w:tc>
        <w:tc>
          <w:tcPr>
            <w:tcW w:w="343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1、立案责任：供应商供货时，涉嫌限制零售商销售其他供应商商品的，予以审查，决定是否立案。</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7、执行责任：依照生效的行政处罚决定责令改正；有违法所得的，可处违法所得三倍以下罚款，但最高不超过三万元；没有违法所得的，可处一万元以下罚款；并可向社会公告。</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32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3、对违反本办法规定的行为任何单位和个人均可向上述部门举报，相关部门接到举报后，应当依法予以查处。</w:t>
            </w:r>
            <w:r>
              <w:rPr>
                <w:rFonts w:hint="eastAsia" w:ascii="宋体" w:hAnsi="宋体" w:eastAsia="宋体"/>
                <w:sz w:val="18"/>
                <w:szCs w:val="18"/>
              </w:rPr>
              <w:br w:type="textWrapping"/>
            </w:r>
            <w:r>
              <w:rPr>
                <w:rFonts w:hint="eastAsia" w:ascii="宋体" w:hAnsi="宋体" w:eastAsia="宋体"/>
                <w:sz w:val="18"/>
                <w:szCs w:val="18"/>
              </w:rPr>
              <w:t>4、不具备行政执法资格实施行政处罚的；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5、应当依法移送追究刑事责任，而未依法移送有权机关的；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11、其他违反法律法规规章文件规定的行为。</w:t>
            </w:r>
          </w:p>
        </w:tc>
        <w:tc>
          <w:tcPr>
            <w:tcW w:w="1002" w:type="dxa"/>
            <w:vAlign w:val="center"/>
          </w:tcPr>
          <w:p>
            <w:pPr>
              <w:tabs>
                <w:tab w:val="left" w:pos="7937"/>
              </w:tabs>
              <w:spacing w:line="200" w:lineRule="exact"/>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4" w:hRule="exact"/>
        </w:trPr>
        <w:tc>
          <w:tcPr>
            <w:tcW w:w="7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7</w:t>
            </w:r>
          </w:p>
        </w:tc>
        <w:tc>
          <w:tcPr>
            <w:tcW w:w="1213"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行政处罚</w:t>
            </w:r>
          </w:p>
        </w:tc>
        <w:tc>
          <w:tcPr>
            <w:tcW w:w="187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发卡企业未在开展单用途卡业务之日起30日内按照规定办理备案的处罚</w:t>
            </w:r>
          </w:p>
        </w:tc>
        <w:tc>
          <w:tcPr>
            <w:tcW w:w="1300" w:type="dxa"/>
            <w:vAlign w:val="center"/>
          </w:tcPr>
          <w:p>
            <w:pPr>
              <w:tabs>
                <w:tab w:val="left" w:pos="7937"/>
              </w:tabs>
              <w:spacing w:line="200" w:lineRule="exact"/>
              <w:jc w:val="left"/>
              <w:rPr>
                <w:rFonts w:ascii="宋体" w:hAnsi="宋体" w:eastAsia="宋体"/>
                <w:sz w:val="18"/>
                <w:szCs w:val="18"/>
              </w:rPr>
            </w:pPr>
            <w:r>
              <w:rPr>
                <w:rFonts w:ascii="宋体" w:hAnsi="宋体" w:eastAsia="宋体"/>
                <w:sz w:val="18"/>
                <w:szCs w:val="18"/>
              </w:rPr>
              <w:t>玉田县商务和投资促进局</w:t>
            </w:r>
          </w:p>
        </w:tc>
        <w:tc>
          <w:tcPr>
            <w:tcW w:w="191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 xml:space="preserve">《单用途商业预付卡管理办法》（试行）（商务部令2012年第9号）第三十六条：发卡企业违反本办法第七条规定的，由违法行为发生地县级以上地方人民政府商务主管部门责令限期改正；逾期仍不改正的，处以1万元以上3万元以下罚款。 </w:t>
            </w:r>
          </w:p>
        </w:tc>
        <w:tc>
          <w:tcPr>
            <w:tcW w:w="343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1、立案责任：发卡企业涉嫌在开展单用途卡业务之日起30日内按照规定办理备案的，予以审查，决定是否立案。</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 xml:space="preserve">7、执行责任：依照生效的行政处罚决定责令限期改正；逾期仍不改正的，处以1万元以上3万元以下罚款。 </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32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2、行政处罚显失公正的；</w:t>
            </w:r>
            <w:r>
              <w:rPr>
                <w:rFonts w:hint="eastAsia" w:ascii="宋体" w:hAnsi="宋体" w:eastAsia="宋体"/>
                <w:sz w:val="18"/>
                <w:szCs w:val="18"/>
              </w:rPr>
              <w:br w:type="textWrapping"/>
            </w:r>
            <w:r>
              <w:rPr>
                <w:rFonts w:hint="eastAsia" w:ascii="宋体" w:hAnsi="宋体" w:eastAsia="宋体"/>
                <w:sz w:val="18"/>
                <w:szCs w:val="18"/>
              </w:rPr>
              <w:t>3、不具备行政执法资格实施行政处罚的；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4、应当依法移送追究刑事责任，而未依法移送有权机关的；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5、擅自改变行政处罚种类、幅度的；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6、违反法定的行政处罚程序的；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7、符合听证条件、行政管理相对人要求听证，应予组织听证而不组织听证的；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8、在行政处罚过程中发生腐败行为的；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9、其他违反法律法规规章文件规定的行为。</w:t>
            </w:r>
          </w:p>
        </w:tc>
        <w:tc>
          <w:tcPr>
            <w:tcW w:w="1002" w:type="dxa"/>
            <w:vAlign w:val="center"/>
          </w:tcPr>
          <w:p>
            <w:pPr>
              <w:tabs>
                <w:tab w:val="left" w:pos="7937"/>
              </w:tabs>
              <w:spacing w:line="200" w:lineRule="exact"/>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3" w:hRule="exact"/>
        </w:trPr>
        <w:tc>
          <w:tcPr>
            <w:tcW w:w="7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8</w:t>
            </w:r>
          </w:p>
        </w:tc>
        <w:tc>
          <w:tcPr>
            <w:tcW w:w="1213"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行政处罚</w:t>
            </w:r>
          </w:p>
        </w:tc>
        <w:tc>
          <w:tcPr>
            <w:tcW w:w="187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发卡企业违规发行预付卡行为的处罚</w:t>
            </w:r>
          </w:p>
        </w:tc>
        <w:tc>
          <w:tcPr>
            <w:tcW w:w="1300" w:type="dxa"/>
            <w:vAlign w:val="center"/>
          </w:tcPr>
          <w:p>
            <w:pPr>
              <w:tabs>
                <w:tab w:val="left" w:pos="7937"/>
              </w:tabs>
              <w:spacing w:line="200" w:lineRule="exact"/>
              <w:jc w:val="left"/>
              <w:rPr>
                <w:rFonts w:ascii="宋体" w:hAnsi="宋体" w:eastAsia="宋体"/>
                <w:sz w:val="18"/>
                <w:szCs w:val="18"/>
              </w:rPr>
            </w:pPr>
            <w:r>
              <w:rPr>
                <w:rFonts w:ascii="宋体" w:hAnsi="宋体" w:eastAsia="宋体"/>
                <w:sz w:val="18"/>
                <w:szCs w:val="18"/>
              </w:rPr>
              <w:t>玉田县商务和投资促进局</w:t>
            </w:r>
          </w:p>
        </w:tc>
        <w:tc>
          <w:tcPr>
            <w:tcW w:w="191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 xml:space="preserve">《单用途商业预付卡管理办法》（试行）（商务部令2012年第9号）第三十七条：发卡企业或售卡企业违反本办法第十四条至第二十二条规定的，由违法行为发生地县级以上地方人民政府商务主管部门责令限期改正；逾期仍不改正的，处以1万元以上3万元以下罚款。 </w:t>
            </w:r>
          </w:p>
          <w:p>
            <w:pPr>
              <w:tabs>
                <w:tab w:val="left" w:pos="7937"/>
              </w:tabs>
              <w:spacing w:line="200" w:lineRule="exact"/>
              <w:jc w:val="left"/>
              <w:rPr>
                <w:rFonts w:ascii="宋体" w:hAnsi="宋体" w:eastAsia="宋体"/>
                <w:sz w:val="18"/>
                <w:szCs w:val="18"/>
              </w:rPr>
            </w:pPr>
          </w:p>
        </w:tc>
        <w:tc>
          <w:tcPr>
            <w:tcW w:w="343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1、立案责任：发卡企业涉嫌违规发行预付卡行为的，予以审查，决定是否立案。</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 xml:space="preserve">7、执行责任：依照生效的行政处罚决定责令限期改正；逾期仍不改正的，处以1万元以上3万元以下罚款。 </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32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2、行政处罚显失公正的；</w:t>
            </w:r>
            <w:r>
              <w:rPr>
                <w:rFonts w:hint="eastAsia" w:ascii="宋体" w:hAnsi="宋体" w:eastAsia="宋体"/>
                <w:sz w:val="18"/>
                <w:szCs w:val="18"/>
              </w:rPr>
              <w:br w:type="textWrapping"/>
            </w:r>
            <w:r>
              <w:rPr>
                <w:rFonts w:hint="eastAsia" w:ascii="宋体" w:hAnsi="宋体" w:eastAsia="宋体"/>
                <w:sz w:val="18"/>
                <w:szCs w:val="18"/>
              </w:rPr>
              <w:t>3、不具备行政执法资格实施行政处罚的；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4、应当依法移送追究刑事责任，而未依法移送有权机关的；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5、擅自改变行政处罚种类、幅度的；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6、违反法定的行政处罚程序的；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7、符合听证条件、行政管理相对人要求听证，应予组织听证而不组织听证的；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8、在行政处罚过程中发生腐败行为的；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9、其他违反法律法规规章文件规定的行为。</w:t>
            </w:r>
          </w:p>
        </w:tc>
        <w:tc>
          <w:tcPr>
            <w:tcW w:w="1002" w:type="dxa"/>
            <w:vAlign w:val="center"/>
          </w:tcPr>
          <w:p>
            <w:pPr>
              <w:tabs>
                <w:tab w:val="left" w:pos="7937"/>
              </w:tabs>
              <w:spacing w:line="200" w:lineRule="exact"/>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6" w:hRule="exact"/>
        </w:trPr>
        <w:tc>
          <w:tcPr>
            <w:tcW w:w="7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9</w:t>
            </w:r>
          </w:p>
        </w:tc>
        <w:tc>
          <w:tcPr>
            <w:tcW w:w="1213"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行政处罚</w:t>
            </w:r>
          </w:p>
        </w:tc>
        <w:tc>
          <w:tcPr>
            <w:tcW w:w="187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发卡企业违反资金管理行为的处罚</w:t>
            </w:r>
          </w:p>
        </w:tc>
        <w:tc>
          <w:tcPr>
            <w:tcW w:w="1300" w:type="dxa"/>
            <w:vAlign w:val="center"/>
          </w:tcPr>
          <w:p>
            <w:pPr>
              <w:tabs>
                <w:tab w:val="left" w:pos="7937"/>
              </w:tabs>
              <w:spacing w:line="200" w:lineRule="exact"/>
              <w:jc w:val="left"/>
              <w:rPr>
                <w:rFonts w:ascii="宋体" w:hAnsi="宋体" w:eastAsia="宋体"/>
                <w:sz w:val="18"/>
                <w:szCs w:val="18"/>
              </w:rPr>
            </w:pPr>
            <w:r>
              <w:rPr>
                <w:rFonts w:ascii="宋体" w:hAnsi="宋体" w:eastAsia="宋体"/>
                <w:sz w:val="18"/>
                <w:szCs w:val="18"/>
              </w:rPr>
              <w:t>玉田县商务和投资促进局</w:t>
            </w:r>
          </w:p>
        </w:tc>
        <w:tc>
          <w:tcPr>
            <w:tcW w:w="191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《单用途商业预付卡管理办法》（试行）（商务部令2012年第9号）第三十:八条：发卡企业违反本办法第二十九条规定，造成重大损失的，由备案机关处以1万元以上3万元以下罚款。</w:t>
            </w:r>
          </w:p>
        </w:tc>
        <w:tc>
          <w:tcPr>
            <w:tcW w:w="343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1、立案责任：发卡企业涉嫌违反资金管理行为的，予以审查，决定是否立案。</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 xml:space="preserve">7、执行责任：依照生效的行政处罚决定责令限期改正；逾期仍不改正的，处以1万元以上3万元以下罚款。 </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32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2、行政处罚显失公正的；</w:t>
            </w:r>
            <w:r>
              <w:rPr>
                <w:rFonts w:hint="eastAsia" w:ascii="宋体" w:hAnsi="宋体" w:eastAsia="宋体"/>
                <w:sz w:val="18"/>
                <w:szCs w:val="18"/>
              </w:rPr>
              <w:br w:type="textWrapping"/>
            </w:r>
            <w:r>
              <w:rPr>
                <w:rFonts w:hint="eastAsia" w:ascii="宋体" w:hAnsi="宋体" w:eastAsia="宋体"/>
                <w:sz w:val="18"/>
                <w:szCs w:val="18"/>
              </w:rPr>
              <w:t>3、不具备行政执法资格实施行政处罚的；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4、应当依法移送追究刑事责任，而未依法移送有权机关的；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5、擅自改变行政处罚种类、幅度的；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6、违反法定的行政处罚程序的；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7、符合听证条件、行政管理相对人要求听证，应予组织听证而不组织听证的；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8、在行政处罚过程中发生腐败行为的；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9、其他违反法律法规规章文件规定的行为。</w:t>
            </w:r>
          </w:p>
        </w:tc>
        <w:tc>
          <w:tcPr>
            <w:tcW w:w="1002" w:type="dxa"/>
            <w:vAlign w:val="center"/>
          </w:tcPr>
          <w:p>
            <w:pPr>
              <w:tabs>
                <w:tab w:val="left" w:pos="7937"/>
              </w:tabs>
              <w:spacing w:line="200" w:lineRule="exact"/>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4" w:hRule="exact"/>
        </w:trPr>
        <w:tc>
          <w:tcPr>
            <w:tcW w:w="7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10</w:t>
            </w:r>
          </w:p>
        </w:tc>
        <w:tc>
          <w:tcPr>
            <w:tcW w:w="1213"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行政处罚</w:t>
            </w:r>
          </w:p>
        </w:tc>
        <w:tc>
          <w:tcPr>
            <w:tcW w:w="187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家庭服务机构违规经营行为的处罚</w:t>
            </w:r>
          </w:p>
        </w:tc>
        <w:tc>
          <w:tcPr>
            <w:tcW w:w="1300" w:type="dxa"/>
            <w:vAlign w:val="center"/>
          </w:tcPr>
          <w:p>
            <w:pPr>
              <w:tabs>
                <w:tab w:val="left" w:pos="7937"/>
              </w:tabs>
              <w:spacing w:line="200" w:lineRule="exact"/>
              <w:jc w:val="left"/>
              <w:rPr>
                <w:rFonts w:ascii="宋体" w:hAnsi="宋体" w:eastAsia="宋体"/>
                <w:sz w:val="18"/>
                <w:szCs w:val="18"/>
              </w:rPr>
            </w:pPr>
            <w:r>
              <w:rPr>
                <w:rFonts w:ascii="宋体" w:hAnsi="宋体" w:eastAsia="宋体"/>
                <w:sz w:val="18"/>
                <w:szCs w:val="18"/>
              </w:rPr>
              <w:t>玉田县商务和投资促进局</w:t>
            </w:r>
          </w:p>
        </w:tc>
        <w:tc>
          <w:tcPr>
            <w:tcW w:w="191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《家庭服务业管理暂行办法》（商务部令2012年第11号）第三十二条、第三十三条、第三十四条、第三十五条、第三十六条：</w:t>
            </w:r>
          </w:p>
        </w:tc>
        <w:tc>
          <w:tcPr>
            <w:tcW w:w="343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1、立案责任：家庭服务机构涉嫌违规经营行为的，予以审查，决定是否立案。</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7、执行责任：第三十二条 家庭服务机构违反本办法第九条规定，未公开服务项目、收费标准和投诉监督电话的，由商务主管部门责令改正；拒不改正的，可处5000元以下罚款。第三十三条 家庭服务机构违反本办法第十条规定，未按要求建立工作档案、跟踪管理制度，对消费者和家庭服务员之间的投诉不予妥善处理的，由商务主管部门责令改正；拒不改正的，可处2万元以下罚款。第三十四条 家庭服务机构违反本办法第十一条、第二十六条规定，未按要求提供信息的，由商务主管部门责令改正；拒不改正的，可处1万元以下罚款。</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　　第三十五条 家庭服务机构有本办法第十二条规定行为的，由商务主管部门或有关主管部门责令改正；拒不改正的，属于商务主管部门职责的，可处3万元以下罚款，属于其他部门职责的，由商务主管部门提请有关主管部门处理。  </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 xml:space="preserve">　　第三十六条 家庭服务机构违反本办法第十三条、第十四条、第十五条规定，未按要求订立家庭服务合同的，拒绝家庭服务员获取家庭服务合同的，由商务主管部门或有关部门责令改正；拒不改正的，可处3万元以下罚款。   </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32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3、商务主管部门在家庭服务业监督管理工作中，玩忽职守、滥用职权、徇私舞弊的，依法给予行政处分；构成犯罪的，依法追究刑事责任。</w:t>
            </w:r>
            <w:r>
              <w:rPr>
                <w:rFonts w:hint="eastAsia" w:ascii="宋体" w:hAnsi="宋体" w:eastAsia="宋体"/>
                <w:sz w:val="18"/>
                <w:szCs w:val="18"/>
              </w:rPr>
              <w:br w:type="textWrapping"/>
            </w:r>
            <w:r>
              <w:rPr>
                <w:rFonts w:hint="eastAsia" w:ascii="宋体" w:hAnsi="宋体" w:eastAsia="宋体"/>
                <w:sz w:val="18"/>
                <w:szCs w:val="18"/>
              </w:rPr>
              <w:t>4、不具备行政执法资格实施行政处罚的；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5、应当依法移送追究刑事责任，而未依法移送有权机关的；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6、擅自改变行政处罚种类、幅度的；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7、违反法定的行政处罚程序的；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8、符合听证条件、行政管理相对人要求听证，应予组织听证而不组织听证的；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9、在行政处罚过程中发生腐败行为的；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10、其他违反法律法规规章文件规定的行为。</w:t>
            </w:r>
          </w:p>
        </w:tc>
        <w:tc>
          <w:tcPr>
            <w:tcW w:w="1002" w:type="dxa"/>
            <w:vAlign w:val="center"/>
          </w:tcPr>
          <w:p>
            <w:pPr>
              <w:tabs>
                <w:tab w:val="left" w:pos="7937"/>
              </w:tabs>
              <w:spacing w:line="200" w:lineRule="exact"/>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4" w:hRule="exact"/>
        </w:trPr>
        <w:tc>
          <w:tcPr>
            <w:tcW w:w="7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11</w:t>
            </w:r>
          </w:p>
        </w:tc>
        <w:tc>
          <w:tcPr>
            <w:tcW w:w="1213"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行政处罚</w:t>
            </w:r>
          </w:p>
        </w:tc>
        <w:tc>
          <w:tcPr>
            <w:tcW w:w="187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从事洗染经营活动的经营者在取得营业执照后的60日内未向同级商务主管部门办理备案的处罚</w:t>
            </w:r>
          </w:p>
        </w:tc>
        <w:tc>
          <w:tcPr>
            <w:tcW w:w="1300" w:type="dxa"/>
            <w:vAlign w:val="center"/>
          </w:tcPr>
          <w:p>
            <w:pPr>
              <w:tabs>
                <w:tab w:val="left" w:pos="7937"/>
              </w:tabs>
              <w:spacing w:line="200" w:lineRule="exact"/>
              <w:jc w:val="left"/>
              <w:rPr>
                <w:rFonts w:ascii="宋体" w:hAnsi="宋体" w:eastAsia="宋体"/>
                <w:sz w:val="18"/>
                <w:szCs w:val="18"/>
              </w:rPr>
            </w:pPr>
            <w:r>
              <w:rPr>
                <w:rFonts w:ascii="宋体" w:hAnsi="宋体" w:eastAsia="宋体"/>
                <w:sz w:val="18"/>
                <w:szCs w:val="18"/>
              </w:rPr>
              <w:t>玉田县商务和投资促进局</w:t>
            </w:r>
          </w:p>
        </w:tc>
        <w:tc>
          <w:tcPr>
            <w:tcW w:w="191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《洗染业管理办法</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第二十二条：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r>
              <w:rPr>
                <w:rFonts w:hint="eastAsia" w:ascii="宋体" w:hAnsi="宋体" w:eastAsia="宋体"/>
                <w:sz w:val="18"/>
                <w:szCs w:val="18"/>
              </w:rPr>
              <w:br w:type="textWrapping"/>
            </w:r>
          </w:p>
        </w:tc>
        <w:tc>
          <w:tcPr>
            <w:tcW w:w="343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1、立案责任：从事洗染经营活动的经营者涉嫌在取得营业执照后的60日内未向同级商务主管部门办理备案的，予以审查，决定是否立案。</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 xml:space="preserve">7、执行责任：依照生效的行政处罚决定责令改正，有违法所得的，可处违法所得3倍以下罚款，但最高不超过3万元；没有违法所得的，可处1万元以下罚款；并可予以公告。 </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32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2、行政处罚显失公正的；</w:t>
            </w:r>
            <w:r>
              <w:rPr>
                <w:rFonts w:hint="eastAsia" w:ascii="宋体" w:hAnsi="宋体" w:eastAsia="宋体"/>
                <w:sz w:val="18"/>
                <w:szCs w:val="18"/>
              </w:rPr>
              <w:br w:type="textWrapping"/>
            </w:r>
            <w:r>
              <w:rPr>
                <w:rFonts w:hint="eastAsia" w:ascii="宋体" w:hAnsi="宋体" w:eastAsia="宋体"/>
                <w:sz w:val="18"/>
                <w:szCs w:val="18"/>
              </w:rPr>
              <w:t>3、不具备行政执法资格实施行政处罚的；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4、应当依法移送追究刑事责任，而未依法移送有权机关的；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5、擅自改变行政处罚种类、幅度的；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6、违反法定的行政处罚程序的；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7、符合听证条件、行政管理相对人要求听证，应予组织听证而不组织听证的；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8、在行政处罚过程中发生腐败行为的；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9、其他违反法律法规规章文件规定的行为。</w:t>
            </w:r>
          </w:p>
        </w:tc>
        <w:tc>
          <w:tcPr>
            <w:tcW w:w="1002" w:type="dxa"/>
            <w:vAlign w:val="center"/>
          </w:tcPr>
          <w:p>
            <w:pPr>
              <w:tabs>
                <w:tab w:val="left" w:pos="7937"/>
              </w:tabs>
              <w:spacing w:line="200" w:lineRule="exact"/>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3" w:hRule="exact"/>
        </w:trPr>
        <w:tc>
          <w:tcPr>
            <w:tcW w:w="7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12</w:t>
            </w:r>
          </w:p>
        </w:tc>
        <w:tc>
          <w:tcPr>
            <w:tcW w:w="1213"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行政处罚</w:t>
            </w:r>
          </w:p>
        </w:tc>
        <w:tc>
          <w:tcPr>
            <w:tcW w:w="187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家电维修经营者违反《家电维修服务业管理办法》第九条规定的处罚</w:t>
            </w:r>
          </w:p>
        </w:tc>
        <w:tc>
          <w:tcPr>
            <w:tcW w:w="1300" w:type="dxa"/>
            <w:vAlign w:val="center"/>
          </w:tcPr>
          <w:p>
            <w:pPr>
              <w:tabs>
                <w:tab w:val="left" w:pos="7937"/>
              </w:tabs>
              <w:spacing w:line="200" w:lineRule="exact"/>
              <w:jc w:val="left"/>
              <w:rPr>
                <w:rFonts w:ascii="宋体" w:hAnsi="宋体" w:eastAsia="宋体"/>
                <w:sz w:val="18"/>
                <w:szCs w:val="18"/>
              </w:rPr>
            </w:pPr>
            <w:r>
              <w:rPr>
                <w:rFonts w:ascii="宋体" w:hAnsi="宋体" w:eastAsia="宋体"/>
                <w:sz w:val="18"/>
                <w:szCs w:val="18"/>
              </w:rPr>
              <w:t>玉田县商务和投资促进局</w:t>
            </w:r>
          </w:p>
        </w:tc>
        <w:tc>
          <w:tcPr>
            <w:tcW w:w="191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《家电维修服务业管理办法》第十四条：违反本办法第九条规定，情节严重的，可处三万元以下罚款</w:t>
            </w:r>
          </w:p>
        </w:tc>
        <w:tc>
          <w:tcPr>
            <w:tcW w:w="343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1、立案责任：家电维修经营者涉嫌违反本办法第九条规定的，予以审查，决定是否立案。</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 xml:space="preserve">7、执行责任：依照生效的行政处罚决定情节严重的，可处三万元以下罚款 </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32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2、行政处罚显失公正的；</w:t>
            </w:r>
            <w:r>
              <w:rPr>
                <w:rFonts w:hint="eastAsia" w:ascii="宋体" w:hAnsi="宋体" w:eastAsia="宋体"/>
                <w:sz w:val="18"/>
                <w:szCs w:val="18"/>
              </w:rPr>
              <w:br w:type="textWrapping"/>
            </w:r>
            <w:r>
              <w:rPr>
                <w:rFonts w:hint="eastAsia" w:ascii="宋体" w:hAnsi="宋体" w:eastAsia="宋体"/>
                <w:sz w:val="18"/>
                <w:szCs w:val="18"/>
              </w:rPr>
              <w:t>3、不具备行政执法资格实施行政处罚的；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4、应当依法移送追究刑事责任，而未依法移送有权机关的；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5、擅自改变行政处罚种类、幅度的；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6、违反法定的行政处罚程序的；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7、符合听证条件、行政管理相对人要求听证，应予组织听证而不组织听证的；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8、在行政处罚过程中发生腐败行为的；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9、其他违反法律法规规章文件规定的行为。</w:t>
            </w:r>
          </w:p>
        </w:tc>
        <w:tc>
          <w:tcPr>
            <w:tcW w:w="1002" w:type="dxa"/>
            <w:vAlign w:val="center"/>
          </w:tcPr>
          <w:p>
            <w:pPr>
              <w:tabs>
                <w:tab w:val="left" w:pos="7937"/>
              </w:tabs>
              <w:spacing w:line="200" w:lineRule="exact"/>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2" w:hRule="exact"/>
        </w:trPr>
        <w:tc>
          <w:tcPr>
            <w:tcW w:w="7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13</w:t>
            </w:r>
          </w:p>
        </w:tc>
        <w:tc>
          <w:tcPr>
            <w:tcW w:w="1213"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行政处罚</w:t>
            </w:r>
          </w:p>
        </w:tc>
        <w:tc>
          <w:tcPr>
            <w:tcW w:w="187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市场经营者违反第十一条、第十二条、第十三条、第十四条、第十七条、第十八条、第十九条、第二十一条规定的处罚</w:t>
            </w:r>
          </w:p>
          <w:p>
            <w:pPr>
              <w:tabs>
                <w:tab w:val="left" w:pos="7937"/>
              </w:tabs>
              <w:spacing w:line="200" w:lineRule="exact"/>
              <w:jc w:val="left"/>
              <w:rPr>
                <w:rFonts w:ascii="宋体" w:hAnsi="宋体" w:eastAsia="宋体"/>
                <w:sz w:val="18"/>
                <w:szCs w:val="18"/>
              </w:rPr>
            </w:pPr>
          </w:p>
        </w:tc>
        <w:tc>
          <w:tcPr>
            <w:tcW w:w="1300" w:type="dxa"/>
            <w:vAlign w:val="center"/>
          </w:tcPr>
          <w:p>
            <w:pPr>
              <w:tabs>
                <w:tab w:val="left" w:pos="7937"/>
              </w:tabs>
              <w:spacing w:line="200" w:lineRule="exact"/>
              <w:jc w:val="left"/>
              <w:rPr>
                <w:rFonts w:ascii="宋体" w:hAnsi="宋体" w:eastAsia="宋体"/>
                <w:sz w:val="18"/>
                <w:szCs w:val="18"/>
              </w:rPr>
            </w:pPr>
            <w:r>
              <w:rPr>
                <w:rFonts w:ascii="宋体" w:hAnsi="宋体" w:eastAsia="宋体"/>
                <w:sz w:val="18"/>
                <w:szCs w:val="18"/>
              </w:rPr>
              <w:t>玉田县商务和投资促进局</w:t>
            </w:r>
          </w:p>
        </w:tc>
        <w:tc>
          <w:tcPr>
            <w:tcW w:w="191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《商品现货市场交易特别规定》第二十三条： 市场经营者违反第十一条、第十二条、第十三条、第十四条、第十七条、第十八条、第十九条、第二十一条规定，由县级以上商务主管部门会同有关部门责令改正。逾期不改的，处一万元以上三万元以下罚款。</w:t>
            </w:r>
          </w:p>
        </w:tc>
        <w:tc>
          <w:tcPr>
            <w:tcW w:w="343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1、立案责任：市场经营者涉嫌违反第十一条、第十二条、第十三条、第十四条、第十七条、第十八条、第十九条、第二十一条规定的，予以审查，决定是否立案。</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7、执行责任：依照生效的行政处罚决定责令改正。逾期不改的，处一万元以上三万元以下罚款。</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32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3、商务主管部门在家庭服务业监督管理工作中，玩忽职守、滥用职权、徇私舞弊的，依法给予行政处分；构成犯罪的，依法追究刑事责任。</w:t>
            </w:r>
            <w:r>
              <w:rPr>
                <w:rFonts w:hint="eastAsia" w:ascii="宋体" w:hAnsi="宋体" w:eastAsia="宋体"/>
                <w:sz w:val="18"/>
                <w:szCs w:val="18"/>
              </w:rPr>
              <w:br w:type="textWrapping"/>
            </w:r>
            <w:r>
              <w:rPr>
                <w:rFonts w:hint="eastAsia" w:ascii="宋体" w:hAnsi="宋体" w:eastAsia="宋体"/>
                <w:sz w:val="18"/>
                <w:szCs w:val="18"/>
              </w:rPr>
              <w:t>4、不具备行政执法资格实施行政处罚的；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5、应当依法移送追究刑事责任，而未依法移送有权机关的；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6、擅自改变行政处罚种类、幅度的；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7、违反法定的行政处罚程序的；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8、符合听证条件、行政管理相对人要求听证，应予组织听证而不组织听证的；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9、在行政处罚过程中发生腐败行为的；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10、其他违反法律法规规章文件规定的行为。</w:t>
            </w:r>
          </w:p>
        </w:tc>
        <w:tc>
          <w:tcPr>
            <w:tcW w:w="1002" w:type="dxa"/>
            <w:vAlign w:val="center"/>
          </w:tcPr>
          <w:p>
            <w:pPr>
              <w:tabs>
                <w:tab w:val="left" w:pos="7937"/>
              </w:tabs>
              <w:spacing w:line="200" w:lineRule="exact"/>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0" w:hRule="exact"/>
        </w:trPr>
        <w:tc>
          <w:tcPr>
            <w:tcW w:w="7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14</w:t>
            </w:r>
          </w:p>
        </w:tc>
        <w:tc>
          <w:tcPr>
            <w:tcW w:w="1213"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行政处罚</w:t>
            </w:r>
          </w:p>
        </w:tc>
        <w:tc>
          <w:tcPr>
            <w:tcW w:w="187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对于餐饮经营者违反餐饮业经营管理规定的处罚</w:t>
            </w:r>
          </w:p>
        </w:tc>
        <w:tc>
          <w:tcPr>
            <w:tcW w:w="1300" w:type="dxa"/>
            <w:vAlign w:val="center"/>
          </w:tcPr>
          <w:p>
            <w:pPr>
              <w:tabs>
                <w:tab w:val="left" w:pos="7937"/>
              </w:tabs>
              <w:spacing w:line="200" w:lineRule="exact"/>
              <w:jc w:val="left"/>
              <w:rPr>
                <w:rFonts w:ascii="宋体" w:hAnsi="宋体" w:eastAsia="宋体"/>
                <w:sz w:val="18"/>
                <w:szCs w:val="18"/>
              </w:rPr>
            </w:pPr>
            <w:r>
              <w:rPr>
                <w:rFonts w:ascii="宋体" w:hAnsi="宋体" w:eastAsia="宋体"/>
                <w:sz w:val="18"/>
                <w:szCs w:val="18"/>
              </w:rPr>
              <w:t>玉田县商务和投资促进局</w:t>
            </w:r>
          </w:p>
        </w:tc>
        <w:tc>
          <w:tcPr>
            <w:tcW w:w="191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餐饮业经营管理办法》第二十一条：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w:t>
            </w:r>
            <w:r>
              <w:rPr>
                <w:rFonts w:hint="eastAsia" w:ascii="宋体" w:hAnsi="宋体" w:eastAsia="宋体"/>
                <w:sz w:val="18"/>
                <w:szCs w:val="18"/>
              </w:rPr>
              <w:br w:type="textWrapping"/>
            </w:r>
            <w:r>
              <w:rPr>
                <w:rFonts w:hint="eastAsia" w:ascii="宋体" w:hAnsi="宋体" w:eastAsia="宋体"/>
                <w:sz w:val="18"/>
                <w:szCs w:val="18"/>
              </w:rPr>
              <w:br w:type="textWrapping"/>
            </w:r>
          </w:p>
        </w:tc>
        <w:tc>
          <w:tcPr>
            <w:tcW w:w="343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1、立案责任：餐饮经营者涉嫌违反餐饮业经营管理规定的，予以审查，决定是否立案。</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7、执行责任：依照生效的行政处罚决定责令限期改正，其中有违法所得的，可处违法所得3倍以下罚款，但最高不超过3万元；没有违法所得的，可处1万元以下罚款；对涉嫌犯罪的，依法移送司法机关处理。</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32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3、商务主管部门在家庭服务业监督管理工作中，玩忽职守、滥用职权、徇私舞弊的，依法给予行政处分；构成犯罪的，依法追究刑事责任。</w:t>
            </w:r>
            <w:r>
              <w:rPr>
                <w:rFonts w:hint="eastAsia" w:ascii="宋体" w:hAnsi="宋体" w:eastAsia="宋体"/>
                <w:sz w:val="18"/>
                <w:szCs w:val="18"/>
              </w:rPr>
              <w:br w:type="textWrapping"/>
            </w:r>
            <w:r>
              <w:rPr>
                <w:rFonts w:hint="eastAsia" w:ascii="宋体" w:hAnsi="宋体" w:eastAsia="宋体"/>
                <w:sz w:val="18"/>
                <w:szCs w:val="18"/>
              </w:rPr>
              <w:t>4、不具备行政执法资格实施行政处罚的；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5、应当依法移送追究刑事责任，而未依法移送有权机关的；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6、擅自改变行政处罚种类、幅度的；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7、违反法定的行政处罚程序的；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8、符合听证条件、行政管理相对人要求听证，应予组织听证而不组织听证的；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9、在行政处罚过程中发生腐败行为的；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10、其他违反法律法规规章文件规定的行为。</w:t>
            </w:r>
          </w:p>
        </w:tc>
        <w:tc>
          <w:tcPr>
            <w:tcW w:w="1002" w:type="dxa"/>
            <w:vAlign w:val="center"/>
          </w:tcPr>
          <w:p>
            <w:pPr>
              <w:tabs>
                <w:tab w:val="left" w:pos="7937"/>
              </w:tabs>
              <w:spacing w:line="200" w:lineRule="exact"/>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1" w:hRule="exact"/>
        </w:trPr>
        <w:tc>
          <w:tcPr>
            <w:tcW w:w="7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15</w:t>
            </w:r>
          </w:p>
        </w:tc>
        <w:tc>
          <w:tcPr>
            <w:tcW w:w="1213"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行政处罚</w:t>
            </w:r>
          </w:p>
        </w:tc>
        <w:tc>
          <w:tcPr>
            <w:tcW w:w="187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对从事汽车销售及相关服务的企业违反销售行为规范及销售市场秩序行为的处罚</w:t>
            </w:r>
          </w:p>
        </w:tc>
        <w:tc>
          <w:tcPr>
            <w:tcW w:w="1300" w:type="dxa"/>
            <w:vAlign w:val="center"/>
          </w:tcPr>
          <w:p>
            <w:pPr>
              <w:tabs>
                <w:tab w:val="left" w:pos="7937"/>
              </w:tabs>
              <w:spacing w:line="200" w:lineRule="exact"/>
              <w:jc w:val="left"/>
              <w:rPr>
                <w:rFonts w:ascii="宋体" w:hAnsi="宋体" w:eastAsia="宋体"/>
                <w:sz w:val="18"/>
                <w:szCs w:val="18"/>
              </w:rPr>
            </w:pPr>
            <w:r>
              <w:rPr>
                <w:rFonts w:ascii="宋体" w:hAnsi="宋体" w:eastAsia="宋体"/>
                <w:sz w:val="18"/>
                <w:szCs w:val="18"/>
              </w:rPr>
              <w:t>玉田县商务和投资促进局</w:t>
            </w:r>
          </w:p>
        </w:tc>
        <w:tc>
          <w:tcPr>
            <w:tcW w:w="191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　《汽车销售管理办法》第三十二条：违反本办法第十条、第十二条、第十四条、第十七条第一款、第二十一条、第二十三条第二款、第二十四条、第二十五条、第二十六条有关规定的，由县级以上地方商务主管部门责令改正，并可给予警告或3万元以下罚款。</w:t>
            </w:r>
          </w:p>
          <w:p>
            <w:pPr>
              <w:tabs>
                <w:tab w:val="left" w:pos="7937"/>
              </w:tabs>
              <w:spacing w:line="200" w:lineRule="exact"/>
              <w:jc w:val="left"/>
              <w:rPr>
                <w:rFonts w:ascii="宋体" w:hAnsi="宋体" w:eastAsia="宋体"/>
                <w:sz w:val="18"/>
                <w:szCs w:val="18"/>
              </w:rPr>
            </w:pPr>
          </w:p>
        </w:tc>
        <w:tc>
          <w:tcPr>
            <w:tcW w:w="343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1、立案责任：发现经营者涉嫌违反本办法第十条、第十二条、第十四条、第十七条第一款、第二十一条、第二十三条第二款、第二十四条、第二十五条、第二十六条有关规定的，予以审查，决定是否立案。</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7、执行责任：依照生效的行政处罚决定，责令改正，并可给予警告或3万元以下罚款。</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32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3、商务主管部门的工作人员在汽车销售及其相关服务活动监督管理工作中滥用职权、玩忽职守、徇私舞弊的，依法给予处分;构成犯罪的，依法追究刑事责任；</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5、应当依法移送追究刑事责任，而未依法移送有权机关的；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11、其他违反法律法规规章文件规定的行为。</w:t>
            </w:r>
          </w:p>
        </w:tc>
        <w:tc>
          <w:tcPr>
            <w:tcW w:w="1002" w:type="dxa"/>
            <w:vAlign w:val="center"/>
          </w:tcPr>
          <w:p>
            <w:pPr>
              <w:tabs>
                <w:tab w:val="left" w:pos="7937"/>
              </w:tabs>
              <w:spacing w:line="200" w:lineRule="exact"/>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8" w:hRule="exact"/>
        </w:trPr>
        <w:tc>
          <w:tcPr>
            <w:tcW w:w="7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16</w:t>
            </w:r>
          </w:p>
        </w:tc>
        <w:tc>
          <w:tcPr>
            <w:tcW w:w="1213"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行政处罚</w:t>
            </w:r>
          </w:p>
        </w:tc>
        <w:tc>
          <w:tcPr>
            <w:tcW w:w="187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对从事汽车销售及相关服务的企业违反销售行为规范及销售市场秩序行为的处罚</w:t>
            </w:r>
          </w:p>
        </w:tc>
        <w:tc>
          <w:tcPr>
            <w:tcW w:w="1300" w:type="dxa"/>
            <w:vAlign w:val="center"/>
          </w:tcPr>
          <w:p>
            <w:pPr>
              <w:tabs>
                <w:tab w:val="left" w:pos="7937"/>
              </w:tabs>
              <w:spacing w:line="200" w:lineRule="exact"/>
              <w:jc w:val="left"/>
              <w:rPr>
                <w:rFonts w:ascii="宋体" w:hAnsi="宋体" w:eastAsia="宋体"/>
                <w:sz w:val="18"/>
                <w:szCs w:val="18"/>
              </w:rPr>
            </w:pPr>
            <w:r>
              <w:rPr>
                <w:rFonts w:ascii="宋体" w:hAnsi="宋体" w:eastAsia="宋体"/>
                <w:sz w:val="18"/>
                <w:szCs w:val="18"/>
              </w:rPr>
              <w:t>玉田县商务和投资促进局</w:t>
            </w:r>
          </w:p>
        </w:tc>
        <w:tc>
          <w:tcPr>
            <w:tcW w:w="191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　《汽车销售管理办法》第三十三条：违反本办法第十一条、第十五条、第十八条、第二十条第二款、第二十七条、第二十八条有关规定的，由县级以上地方商务主管部门责令改正，并可给予警告或1万元以下罚款。</w:t>
            </w:r>
          </w:p>
          <w:p>
            <w:pPr>
              <w:tabs>
                <w:tab w:val="left" w:pos="7937"/>
              </w:tabs>
              <w:spacing w:line="200" w:lineRule="exact"/>
              <w:jc w:val="left"/>
              <w:rPr>
                <w:rFonts w:ascii="宋体" w:hAnsi="宋体" w:eastAsia="宋体"/>
                <w:sz w:val="18"/>
                <w:szCs w:val="18"/>
              </w:rPr>
            </w:pPr>
          </w:p>
        </w:tc>
        <w:tc>
          <w:tcPr>
            <w:tcW w:w="343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1、立案责任：发现经营者涉嫌违反本办法第十一条、第十五条、第十八条、第二十条第二款、第二十七条、第二十八条有关规定的，予以审查，决定是否立案。</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7、执行责任：依照生效的行政处罚决定，责令改正，并可给予警告或1万元以下罚款。</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32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3、商务主管部门的工作人员在汽车销售及其相关服务活动监督管理工作中滥用职权、玩忽职守、徇私舞弊的，依法给予处分;构成犯罪的，依法追究刑事责任；</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5、应当依法移送追究刑事责任，而未依法移送有权机关的；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11、其他违反法律法规规章文件规定的行为。</w:t>
            </w:r>
          </w:p>
        </w:tc>
        <w:tc>
          <w:tcPr>
            <w:tcW w:w="1002" w:type="dxa"/>
            <w:vAlign w:val="center"/>
          </w:tcPr>
          <w:p>
            <w:pPr>
              <w:tabs>
                <w:tab w:val="left" w:pos="7937"/>
              </w:tabs>
              <w:spacing w:line="200" w:lineRule="exact"/>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1" w:hRule="exact"/>
        </w:trPr>
        <w:tc>
          <w:tcPr>
            <w:tcW w:w="7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17</w:t>
            </w:r>
          </w:p>
        </w:tc>
        <w:tc>
          <w:tcPr>
            <w:tcW w:w="1213"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行政处罚</w:t>
            </w:r>
          </w:p>
        </w:tc>
        <w:tc>
          <w:tcPr>
            <w:tcW w:w="187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回收拆解企业违法细则第七条第一款的处罚</w:t>
            </w:r>
          </w:p>
        </w:tc>
        <w:tc>
          <w:tcPr>
            <w:tcW w:w="1300" w:type="dxa"/>
            <w:vAlign w:val="center"/>
          </w:tcPr>
          <w:p>
            <w:pPr>
              <w:tabs>
                <w:tab w:val="left" w:pos="7937"/>
              </w:tabs>
              <w:spacing w:line="200" w:lineRule="exact"/>
              <w:jc w:val="left"/>
              <w:rPr>
                <w:rFonts w:ascii="宋体" w:hAnsi="宋体" w:eastAsia="宋体"/>
                <w:sz w:val="18"/>
                <w:szCs w:val="18"/>
              </w:rPr>
            </w:pPr>
            <w:r>
              <w:rPr>
                <w:rFonts w:ascii="宋体" w:hAnsi="宋体" w:eastAsia="宋体"/>
                <w:sz w:val="18"/>
                <w:szCs w:val="18"/>
              </w:rPr>
              <w:t>玉田县商务和投资促进局</w:t>
            </w:r>
          </w:p>
        </w:tc>
        <w:tc>
          <w:tcPr>
            <w:tcW w:w="191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报废机动车回收管理办法实施细则》第四十条：违反本细则第七条第一款规定，未取得资质认定，擅自从事报废机动车回收拆解活动的，由县级以上地方商务主管部门会同有关部门按照《管理办法》第十九条规定没收非法回收拆解的报废机动车、报废机动车“五大总成”和其他零部件，没收违法所得；违法所得在5万元以上的，并处违法所得2倍以上5倍以下的罚款；违法所得不足5万元或者没有违法所得的，并处5万元以上10万元以下的罚款。</w:t>
            </w:r>
          </w:p>
        </w:tc>
        <w:tc>
          <w:tcPr>
            <w:tcW w:w="343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1、立案责任：发现经营者涉嫌违反本细则第七条第一款规定的，予以审查，决定是否立案。</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执行责任：依照生效的行政处罚决定，没收非法回收拆解的报废机动车、报废机动车“五大总成”和其他零部件，没收违法所得；违法所得在5万元以上的，并处违法所得2倍以上5倍以下的罚款；违法所得不足5万元或者没有违法所得的，并处5万元以上10万元以下的罚款。</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32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3、违反相关规定的，按照《管理办法》第二十五条规定追究责任。任何单位和个人有权对相关部门及其工作人员的违法违规行为进行举报；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5、应当依法移送追究刑事责任，而未依法移送有权机关的；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11、其他违反法律法规规章文件规定的行为。</w:t>
            </w:r>
          </w:p>
        </w:tc>
        <w:tc>
          <w:tcPr>
            <w:tcW w:w="1002" w:type="dxa"/>
            <w:vAlign w:val="center"/>
          </w:tcPr>
          <w:p>
            <w:pPr>
              <w:tabs>
                <w:tab w:val="left" w:pos="7937"/>
              </w:tabs>
              <w:spacing w:line="200" w:lineRule="exact"/>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6" w:hRule="exact"/>
        </w:trPr>
        <w:tc>
          <w:tcPr>
            <w:tcW w:w="7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18</w:t>
            </w:r>
          </w:p>
        </w:tc>
        <w:tc>
          <w:tcPr>
            <w:tcW w:w="1213"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行政处罚</w:t>
            </w:r>
          </w:p>
        </w:tc>
        <w:tc>
          <w:tcPr>
            <w:tcW w:w="187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回收拆解企业违反细则第十四条的处罚</w:t>
            </w:r>
          </w:p>
        </w:tc>
        <w:tc>
          <w:tcPr>
            <w:tcW w:w="1300" w:type="dxa"/>
            <w:vAlign w:val="center"/>
          </w:tcPr>
          <w:p>
            <w:pPr>
              <w:tabs>
                <w:tab w:val="left" w:pos="7937"/>
              </w:tabs>
              <w:spacing w:line="200" w:lineRule="exact"/>
              <w:jc w:val="left"/>
              <w:rPr>
                <w:rFonts w:ascii="宋体" w:hAnsi="宋体" w:eastAsia="宋体"/>
                <w:sz w:val="18"/>
                <w:szCs w:val="18"/>
              </w:rPr>
            </w:pPr>
            <w:r>
              <w:rPr>
                <w:rFonts w:ascii="宋体" w:hAnsi="宋体" w:eastAsia="宋体"/>
                <w:sz w:val="18"/>
                <w:szCs w:val="18"/>
              </w:rPr>
              <w:t>玉田县商务和投资促进局</w:t>
            </w:r>
          </w:p>
        </w:tc>
        <w:tc>
          <w:tcPr>
            <w:tcW w:w="191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报废机动车回收管理办法实施细则》第四十一条：违反本细则第十四条规定，回收拆解企业涂改、出租、出借或者以其他形式非法转让《资质认定书》的，由县级以上地方商务主管部门责令改正，并处1万元以上3万元以下的罚款。</w:t>
            </w:r>
          </w:p>
        </w:tc>
        <w:tc>
          <w:tcPr>
            <w:tcW w:w="343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1、立案责任：发现经营者涉嫌违反本细则第十四条规定的，予以审查，决定是否立案。</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7、执行责任：依照生效的行政处罚决定，责令改正，并处1万元以上3万元以下的罚款。</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32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3、违反相关规定的，按照《管理办法》第二十五条规定追究责任。任何单位和个人有权对相关部门及其工作人员的违法违规行为进行举报；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5、应当依法移送追究刑事责任，而未依法移送有权机关的；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11、其他违反法律法规规章文件规定的行为。</w:t>
            </w:r>
          </w:p>
        </w:tc>
        <w:tc>
          <w:tcPr>
            <w:tcW w:w="1002" w:type="dxa"/>
            <w:vAlign w:val="center"/>
          </w:tcPr>
          <w:p>
            <w:pPr>
              <w:tabs>
                <w:tab w:val="left" w:pos="7937"/>
              </w:tabs>
              <w:spacing w:line="200" w:lineRule="exact"/>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5" w:hRule="exact"/>
        </w:trPr>
        <w:tc>
          <w:tcPr>
            <w:tcW w:w="7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19</w:t>
            </w:r>
          </w:p>
        </w:tc>
        <w:tc>
          <w:tcPr>
            <w:tcW w:w="1213"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行政处罚</w:t>
            </w:r>
          </w:p>
        </w:tc>
        <w:tc>
          <w:tcPr>
            <w:tcW w:w="187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回收拆解企业违反细则第十五条第一款的处罚</w:t>
            </w:r>
          </w:p>
        </w:tc>
        <w:tc>
          <w:tcPr>
            <w:tcW w:w="1300" w:type="dxa"/>
            <w:vAlign w:val="center"/>
          </w:tcPr>
          <w:p>
            <w:pPr>
              <w:tabs>
                <w:tab w:val="left" w:pos="7937"/>
              </w:tabs>
              <w:spacing w:line="200" w:lineRule="exact"/>
              <w:jc w:val="left"/>
              <w:rPr>
                <w:rFonts w:ascii="宋体" w:hAnsi="宋体" w:eastAsia="宋体"/>
                <w:sz w:val="18"/>
                <w:szCs w:val="18"/>
              </w:rPr>
            </w:pPr>
            <w:r>
              <w:rPr>
                <w:rFonts w:ascii="宋体" w:hAnsi="宋体" w:eastAsia="宋体"/>
                <w:sz w:val="18"/>
                <w:szCs w:val="18"/>
              </w:rPr>
              <w:t>玉田县商务和投资促进局</w:t>
            </w:r>
          </w:p>
        </w:tc>
        <w:tc>
          <w:tcPr>
            <w:tcW w:w="191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《报废机动车回收管理办法实施细则》第四十二条： 违反本细则第十五条第一款规定，回收拆解企业未按照要求备案分支机构的，由分支机构注册登记所在地县级以上地方商务主管部门责令改正，并处1万元以上3万元以下的罚款。</w:t>
            </w:r>
          </w:p>
        </w:tc>
        <w:tc>
          <w:tcPr>
            <w:tcW w:w="343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1、立案责任：发现经营者涉嫌违反本细则第十五条第一款规定的，予以审查，决定是否立案。</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7、执行责任：依照生效的行政处罚决定，责令改正，并处1万元以上3万元以下的罚款。</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32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3、违反相关规定的，按照《管理办法》第二十五条规定追究责任。任何单位和个人有权对相关部门及其工作人员的违法违规行为进行举报；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5、应当依法移送追究刑事责任，而未依法移送有权机关的；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11、其他违反法律法规规章文件规定的行为。</w:t>
            </w:r>
          </w:p>
        </w:tc>
        <w:tc>
          <w:tcPr>
            <w:tcW w:w="1002" w:type="dxa"/>
            <w:vAlign w:val="center"/>
          </w:tcPr>
          <w:p>
            <w:pPr>
              <w:tabs>
                <w:tab w:val="left" w:pos="7937"/>
              </w:tabs>
              <w:spacing w:line="200" w:lineRule="exact"/>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2" w:hRule="exact"/>
        </w:trPr>
        <w:tc>
          <w:tcPr>
            <w:tcW w:w="7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20</w:t>
            </w:r>
          </w:p>
        </w:tc>
        <w:tc>
          <w:tcPr>
            <w:tcW w:w="1213"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行政处罚</w:t>
            </w:r>
          </w:p>
        </w:tc>
        <w:tc>
          <w:tcPr>
            <w:tcW w:w="187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回收拆解企业违反细则第十五条第二款的处罚</w:t>
            </w:r>
          </w:p>
        </w:tc>
        <w:tc>
          <w:tcPr>
            <w:tcW w:w="1300" w:type="dxa"/>
            <w:vAlign w:val="center"/>
          </w:tcPr>
          <w:p>
            <w:pPr>
              <w:tabs>
                <w:tab w:val="left" w:pos="7937"/>
              </w:tabs>
              <w:spacing w:line="200" w:lineRule="exact"/>
              <w:jc w:val="left"/>
              <w:rPr>
                <w:rFonts w:ascii="宋体" w:hAnsi="宋体" w:eastAsia="宋体"/>
                <w:sz w:val="18"/>
                <w:szCs w:val="18"/>
              </w:rPr>
            </w:pPr>
            <w:r>
              <w:rPr>
                <w:rFonts w:ascii="宋体" w:hAnsi="宋体" w:eastAsia="宋体"/>
                <w:sz w:val="18"/>
                <w:szCs w:val="18"/>
              </w:rPr>
              <w:t>玉田县商务和投资促进局</w:t>
            </w:r>
          </w:p>
        </w:tc>
        <w:tc>
          <w:tcPr>
            <w:tcW w:w="191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报废机动车回收管理办法实施细则》第四十二条：违反本细则第十五条第二款规定，回收拆解企业的分支机构对报废机动车进行拆解的，由分支机构注册登记所在地县级以上地方商务主管部门责令改正，并处3万元罚款；拒不改正或者情节严重的，由原发证部门吊销回收拆解企业的《资质认定书》。</w:t>
            </w:r>
          </w:p>
        </w:tc>
        <w:tc>
          <w:tcPr>
            <w:tcW w:w="343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1、立案责任：发现经营者涉嫌违反本细则第十五条第二款规定的，予以审查，决定是否立案。</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7、执行责任：依照生效的行政处罚决定，责令改正，并处3万元罚款；拒不改正或者情节严重的，由原发证部门吊销回收拆解企业的《资质认定书》。</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32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3、违反相关规定的，按照《管理办法》第二十五条规定追究责任。任何单位和个人有权对相关部门及其工作人员的违法违规行为进行举报；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5、应当依法移送追究刑事责任，而未依法移送有权机关的；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11、其他违反法律法规规章文件规定的行为。</w:t>
            </w:r>
          </w:p>
        </w:tc>
        <w:tc>
          <w:tcPr>
            <w:tcW w:w="1002" w:type="dxa"/>
            <w:vAlign w:val="center"/>
          </w:tcPr>
          <w:p>
            <w:pPr>
              <w:tabs>
                <w:tab w:val="left" w:pos="7937"/>
              </w:tabs>
              <w:spacing w:line="200" w:lineRule="exact"/>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3" w:hRule="exact"/>
        </w:trPr>
        <w:tc>
          <w:tcPr>
            <w:tcW w:w="7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21</w:t>
            </w:r>
          </w:p>
        </w:tc>
        <w:tc>
          <w:tcPr>
            <w:tcW w:w="1213"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行政处罚</w:t>
            </w:r>
          </w:p>
        </w:tc>
        <w:tc>
          <w:tcPr>
            <w:tcW w:w="187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回收拆解企业违反细则第十九条第一款、第二十条、第二十一条的处罚</w:t>
            </w:r>
          </w:p>
        </w:tc>
        <w:tc>
          <w:tcPr>
            <w:tcW w:w="1300" w:type="dxa"/>
            <w:vAlign w:val="center"/>
          </w:tcPr>
          <w:p>
            <w:pPr>
              <w:tabs>
                <w:tab w:val="left" w:pos="7937"/>
              </w:tabs>
              <w:spacing w:line="200" w:lineRule="exact"/>
              <w:jc w:val="left"/>
              <w:rPr>
                <w:rFonts w:ascii="宋体" w:hAnsi="宋体" w:eastAsia="宋体"/>
                <w:sz w:val="18"/>
                <w:szCs w:val="18"/>
              </w:rPr>
            </w:pPr>
            <w:r>
              <w:rPr>
                <w:rFonts w:ascii="宋体" w:hAnsi="宋体" w:eastAsia="宋体"/>
                <w:sz w:val="18"/>
                <w:szCs w:val="18"/>
              </w:rPr>
              <w:t>玉田县商务和投资促进局</w:t>
            </w:r>
          </w:p>
        </w:tc>
        <w:tc>
          <w:tcPr>
            <w:tcW w:w="191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《报废机动车回收管理办法实施细则》第四十三条：</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违反本细则第十九条第一款、第二十条、第二十一条的规定，回收拆解企业违规开具或者发放《报废机动车回收证明》，或者未按照规定对已出具《报废机动车回收证明》的报废机动车进行拆解的，由县级以上地方商务主管部门责令限期改正，整改期间暂停打印《报废机动车回收证明》；情节严重的，处1万元以上3万元以下的罚款。</w:t>
            </w:r>
          </w:p>
        </w:tc>
        <w:tc>
          <w:tcPr>
            <w:tcW w:w="343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1、立案责任：发现经营者涉嫌违反本细则第十九条第一款、第二十条、第二十一条规定的，予以审查，决定是否立案。</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7、执行责任：责令限期改正，整改期间暂停打印《报废机动车回收证明》；情节严重的，处1万元以上3万元以下的罚款。</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32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3、违反相关规定的，按照《管理办法》第二十五条规定追究责任。任何单位和个人有权对相关部门及其工作人员的违法违规行为进行举报；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5、应当依法移送追究刑事责任，而未依法移送有权机关的；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11、其他违反法律法规规章文件规定的行为。</w:t>
            </w:r>
          </w:p>
        </w:tc>
        <w:tc>
          <w:tcPr>
            <w:tcW w:w="1002" w:type="dxa"/>
            <w:vAlign w:val="center"/>
          </w:tcPr>
          <w:p>
            <w:pPr>
              <w:tabs>
                <w:tab w:val="left" w:pos="7937"/>
              </w:tabs>
              <w:spacing w:line="200" w:lineRule="exact"/>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2" w:hRule="exact"/>
        </w:trPr>
        <w:tc>
          <w:tcPr>
            <w:tcW w:w="7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22</w:t>
            </w:r>
          </w:p>
        </w:tc>
        <w:tc>
          <w:tcPr>
            <w:tcW w:w="1213"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行政处罚</w:t>
            </w:r>
          </w:p>
        </w:tc>
        <w:tc>
          <w:tcPr>
            <w:tcW w:w="187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回收拆解企业违反细则第十九条第二款的处罚</w:t>
            </w:r>
          </w:p>
        </w:tc>
        <w:tc>
          <w:tcPr>
            <w:tcW w:w="1300" w:type="dxa"/>
            <w:vAlign w:val="center"/>
          </w:tcPr>
          <w:p>
            <w:pPr>
              <w:tabs>
                <w:tab w:val="left" w:pos="7937"/>
              </w:tabs>
              <w:spacing w:line="200" w:lineRule="exact"/>
              <w:jc w:val="left"/>
              <w:rPr>
                <w:rFonts w:ascii="宋体" w:hAnsi="宋体" w:eastAsia="宋体"/>
                <w:sz w:val="18"/>
                <w:szCs w:val="18"/>
              </w:rPr>
            </w:pPr>
            <w:r>
              <w:rPr>
                <w:rFonts w:ascii="宋体" w:hAnsi="宋体" w:eastAsia="宋体"/>
                <w:sz w:val="18"/>
                <w:szCs w:val="18"/>
              </w:rPr>
              <w:t>玉田县商务和投资促进局</w:t>
            </w:r>
          </w:p>
        </w:tc>
        <w:tc>
          <w:tcPr>
            <w:tcW w:w="191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《报废机动车回收管理办法实施细则》第四十四条</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违反本细则第十九条第二款规定，回收拆解企业未按照国家有关规定及时向公安机关交通管理部门办理机动车注销登记，并将注销证明转交机动车所有人的，由县级以上地方商务主管部门按照《管理办法》第二十二条规定责令改正，可以处1万元以上5万元以下的罚款。</w:t>
            </w:r>
          </w:p>
        </w:tc>
        <w:tc>
          <w:tcPr>
            <w:tcW w:w="343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1、立案责任：发现经营者涉嫌违反本细则第十九条第二款规定的，予以审查，决定是否立案。</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7、执行责任：责令改正，可以处1万元以上5万元以下的罚款。</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32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3、违反相关规定的，按照《管理办法》第二十五条规定追究责任。任何单位和个人有权对相关部门及其工作人员的违法违规行为进行举报；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5、应当依法移送追究刑事责任，而未依法移送有权机关的；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11、其他违反法律法规规章文件规定的行为。</w:t>
            </w:r>
          </w:p>
        </w:tc>
        <w:tc>
          <w:tcPr>
            <w:tcW w:w="1002" w:type="dxa"/>
            <w:vAlign w:val="center"/>
          </w:tcPr>
          <w:p>
            <w:pPr>
              <w:tabs>
                <w:tab w:val="left" w:pos="7937"/>
              </w:tabs>
              <w:spacing w:line="200" w:lineRule="exact"/>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3" w:hRule="exact"/>
        </w:trPr>
        <w:tc>
          <w:tcPr>
            <w:tcW w:w="7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23</w:t>
            </w:r>
          </w:p>
        </w:tc>
        <w:tc>
          <w:tcPr>
            <w:tcW w:w="1213"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行政处罚</w:t>
            </w:r>
          </w:p>
        </w:tc>
        <w:tc>
          <w:tcPr>
            <w:tcW w:w="187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回收拆解企业违反细则第二十三条的处罚</w:t>
            </w:r>
          </w:p>
        </w:tc>
        <w:tc>
          <w:tcPr>
            <w:tcW w:w="1300" w:type="dxa"/>
            <w:vAlign w:val="center"/>
          </w:tcPr>
          <w:p>
            <w:pPr>
              <w:tabs>
                <w:tab w:val="left" w:pos="7937"/>
              </w:tabs>
              <w:spacing w:line="200" w:lineRule="exact"/>
              <w:jc w:val="left"/>
              <w:rPr>
                <w:rFonts w:ascii="宋体" w:hAnsi="宋体" w:eastAsia="宋体"/>
                <w:sz w:val="18"/>
                <w:szCs w:val="18"/>
              </w:rPr>
            </w:pPr>
            <w:r>
              <w:rPr>
                <w:rFonts w:ascii="宋体" w:hAnsi="宋体" w:eastAsia="宋体"/>
                <w:sz w:val="18"/>
                <w:szCs w:val="18"/>
              </w:rPr>
              <w:t>玉田县商务和投资促进局</w:t>
            </w:r>
          </w:p>
        </w:tc>
        <w:tc>
          <w:tcPr>
            <w:tcW w:w="191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《报废机动车回收管理办法实施细则》第四十五条</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违反本细则第二十三条规定，回收拆解企业未在其资质认定的拆解经营场地内对回收的报废机动车予以拆解，或者交易报废机动车整车、拼装车的，由县级以上地方商务主管部门责令改正，并处3万元罚款；拒不改正或者情节严重的，由原发证部门吊销《资质认定书》。</w:t>
            </w:r>
          </w:p>
        </w:tc>
        <w:tc>
          <w:tcPr>
            <w:tcW w:w="343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1、立案责任：发现经营者涉嫌违反本细则第二十三条规定的，予以审查，决定是否立案。</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7、执行责任：责令改正，并处3万元罚款；拒不改正或者情节严重的，由原发证部门吊销《资质认定书》。</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32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3、违反相关规定的，按照《管理办法》第二十五条规定追究责任。任何单位和个人有权对相关部门及其工作人员的违法违规行为进行举报；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5、应当依法移送追究刑事责任，而未依法移送有权机关的；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11、其他违反法律法规规章文件规定的行为。</w:t>
            </w:r>
          </w:p>
        </w:tc>
        <w:tc>
          <w:tcPr>
            <w:tcW w:w="1002" w:type="dxa"/>
            <w:vAlign w:val="center"/>
          </w:tcPr>
          <w:p>
            <w:pPr>
              <w:tabs>
                <w:tab w:val="left" w:pos="7937"/>
              </w:tabs>
              <w:spacing w:line="200" w:lineRule="exact"/>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8" w:hRule="exact"/>
        </w:trPr>
        <w:tc>
          <w:tcPr>
            <w:tcW w:w="7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24</w:t>
            </w:r>
          </w:p>
        </w:tc>
        <w:tc>
          <w:tcPr>
            <w:tcW w:w="1213"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行政处罚</w:t>
            </w:r>
          </w:p>
        </w:tc>
        <w:tc>
          <w:tcPr>
            <w:tcW w:w="187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回收拆解企业违反细则第二十四条的处罚</w:t>
            </w:r>
          </w:p>
        </w:tc>
        <w:tc>
          <w:tcPr>
            <w:tcW w:w="1300" w:type="dxa"/>
            <w:vAlign w:val="center"/>
          </w:tcPr>
          <w:p>
            <w:pPr>
              <w:tabs>
                <w:tab w:val="left" w:pos="7937"/>
              </w:tabs>
              <w:spacing w:line="200" w:lineRule="exact"/>
              <w:jc w:val="left"/>
              <w:rPr>
                <w:rFonts w:ascii="宋体" w:hAnsi="宋体" w:eastAsia="宋体"/>
                <w:sz w:val="18"/>
                <w:szCs w:val="18"/>
              </w:rPr>
            </w:pPr>
            <w:r>
              <w:rPr>
                <w:rFonts w:ascii="宋体" w:hAnsi="宋体" w:eastAsia="宋体"/>
                <w:sz w:val="18"/>
                <w:szCs w:val="18"/>
              </w:rPr>
              <w:t>玉田县商务和投资促进局</w:t>
            </w:r>
          </w:p>
        </w:tc>
        <w:tc>
          <w:tcPr>
            <w:tcW w:w="191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《报废机动车回收管理办法实施细则》第四十六条</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违反本细则第二十四条规定，回收拆解企业未建立生产经营全覆盖的电子监控系统，或者录像保存不足1年的，由县级以上地方商务主管部门责令限期改正，整改期间暂停打印《报废机动车回收证明》；情节严重的，处1万元以上3万元以下的罚款。</w:t>
            </w:r>
          </w:p>
        </w:tc>
        <w:tc>
          <w:tcPr>
            <w:tcW w:w="343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1、立案责任：发现经营者涉嫌违反本细则第二十四条规定的，予以审查，决定是否立案。</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7、执行责任：责令限期改正，整改期间暂停打印《报废机动车回收证明》；情节严重的，处1万元以上3万元以下的罚款。</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32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3、违反相关规定的，按照《管理办法》第二十五条规定追究责任。任何单位和个人有权对相关部门及其工作人员的违法违规行为进行举报；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5、应当依法移送追究刑事责任，而未依法移送有权机关的；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11、其他违反法律法规规章文件规定的行为。</w:t>
            </w:r>
          </w:p>
        </w:tc>
        <w:tc>
          <w:tcPr>
            <w:tcW w:w="1002" w:type="dxa"/>
            <w:vAlign w:val="center"/>
          </w:tcPr>
          <w:p>
            <w:pPr>
              <w:tabs>
                <w:tab w:val="left" w:pos="7937"/>
              </w:tabs>
              <w:spacing w:line="200" w:lineRule="exact"/>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4" w:hRule="exact"/>
        </w:trPr>
        <w:tc>
          <w:tcPr>
            <w:tcW w:w="7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25</w:t>
            </w:r>
          </w:p>
        </w:tc>
        <w:tc>
          <w:tcPr>
            <w:tcW w:w="1213"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行政处罚</w:t>
            </w:r>
          </w:p>
        </w:tc>
        <w:tc>
          <w:tcPr>
            <w:tcW w:w="187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回收拆解企业违反细则第二十六条的处罚</w:t>
            </w:r>
          </w:p>
        </w:tc>
        <w:tc>
          <w:tcPr>
            <w:tcW w:w="1300" w:type="dxa"/>
            <w:vAlign w:val="center"/>
          </w:tcPr>
          <w:p>
            <w:pPr>
              <w:tabs>
                <w:tab w:val="left" w:pos="7937"/>
              </w:tabs>
              <w:spacing w:line="200" w:lineRule="exact"/>
              <w:jc w:val="left"/>
              <w:rPr>
                <w:rFonts w:ascii="宋体" w:hAnsi="宋体" w:eastAsia="宋体"/>
                <w:sz w:val="18"/>
                <w:szCs w:val="18"/>
              </w:rPr>
            </w:pPr>
            <w:r>
              <w:rPr>
                <w:rFonts w:ascii="宋体" w:hAnsi="宋体" w:eastAsia="宋体"/>
                <w:sz w:val="18"/>
                <w:szCs w:val="18"/>
              </w:rPr>
              <w:t>玉田县商务和投资促进局</w:t>
            </w:r>
          </w:p>
        </w:tc>
        <w:tc>
          <w:tcPr>
            <w:tcW w:w="191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《报废机动车回收管理办法实施细则》第四十八条</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违反本细则第二十六条规定，回收拆解企业未按照要求建立报废机动车零部件销售台账并如实记录“五大总成”信息并上传信息系统的，由县级以上地方商务主管部门按照《管理办法》第二十三条规定责令改正，并处1万元以上5万元以下的罚款；情节严重的，责令停业整顿。</w:t>
            </w:r>
          </w:p>
        </w:tc>
        <w:tc>
          <w:tcPr>
            <w:tcW w:w="343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1、立案责任：发现经营者涉嫌违反本细则第二十六条规定的，予以审查，决定是否立案。</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7、执行责任：责令改正，并处1万元以上5万元以下的罚款；情节严重的，责令停业整顿。</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32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3、违反相关规定的，按照《管理办法》第二十五条规定追究责任。任何单位和个人有权对相关部门及其工作人员的违法违规行为进行举报；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5、应当依法移送追究刑事责任，而未依法移送有权机关的；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11、其他违反法律法规规章文件规定的行为。</w:t>
            </w:r>
          </w:p>
        </w:tc>
        <w:tc>
          <w:tcPr>
            <w:tcW w:w="1002" w:type="dxa"/>
            <w:vAlign w:val="center"/>
          </w:tcPr>
          <w:p>
            <w:pPr>
              <w:tabs>
                <w:tab w:val="left" w:pos="7937"/>
              </w:tabs>
              <w:spacing w:line="200" w:lineRule="exact"/>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7" w:hRule="exact"/>
        </w:trPr>
        <w:tc>
          <w:tcPr>
            <w:tcW w:w="7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26</w:t>
            </w:r>
          </w:p>
        </w:tc>
        <w:tc>
          <w:tcPr>
            <w:tcW w:w="1213"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行政处罚</w:t>
            </w:r>
          </w:p>
        </w:tc>
        <w:tc>
          <w:tcPr>
            <w:tcW w:w="187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回收拆解企业违反细则第二十七条的处罚</w:t>
            </w:r>
          </w:p>
        </w:tc>
        <w:tc>
          <w:tcPr>
            <w:tcW w:w="1300" w:type="dxa"/>
            <w:vAlign w:val="center"/>
          </w:tcPr>
          <w:p>
            <w:pPr>
              <w:tabs>
                <w:tab w:val="left" w:pos="7937"/>
              </w:tabs>
              <w:spacing w:line="200" w:lineRule="exact"/>
              <w:jc w:val="left"/>
              <w:rPr>
                <w:rFonts w:ascii="宋体" w:hAnsi="宋体" w:eastAsia="宋体"/>
                <w:sz w:val="18"/>
                <w:szCs w:val="18"/>
              </w:rPr>
            </w:pPr>
            <w:r>
              <w:rPr>
                <w:rFonts w:ascii="宋体" w:hAnsi="宋体" w:eastAsia="宋体"/>
                <w:sz w:val="18"/>
                <w:szCs w:val="18"/>
              </w:rPr>
              <w:t>玉田县商务和投资促进局</w:t>
            </w:r>
          </w:p>
        </w:tc>
        <w:tc>
          <w:tcPr>
            <w:tcW w:w="191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《报废机动车回收管理办法实施细则》第四十九条</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违反本细则第二十七条规定，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由县级以上地方商务主管部门会同工业和信息化主管部门责令改正，并处1万元以上3万元以下的罚款。</w:t>
            </w:r>
          </w:p>
        </w:tc>
        <w:tc>
          <w:tcPr>
            <w:tcW w:w="343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1、立案责任：发现经营者涉嫌违反本细则第二十七条规定的，予以审查，决定是否立案。</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7、执行责任：责令改正，并处1万元以上3万元以下的罚款。</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32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3、违反相关规定的，按照《管理办法》第二十五条规定追究责任。任何单位和个人有权对相关部门及其工作人员的违法违规行为进行举报；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5、应当依法移送追究刑事责任，而未依法移送有权机关的；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11、其他违反法律法规规章文件规定的行为。</w:t>
            </w:r>
          </w:p>
        </w:tc>
        <w:tc>
          <w:tcPr>
            <w:tcW w:w="1002" w:type="dxa"/>
            <w:vAlign w:val="center"/>
          </w:tcPr>
          <w:p>
            <w:pPr>
              <w:tabs>
                <w:tab w:val="left" w:pos="7937"/>
              </w:tabs>
              <w:spacing w:line="200" w:lineRule="exact"/>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0" w:hRule="exact"/>
        </w:trPr>
        <w:tc>
          <w:tcPr>
            <w:tcW w:w="752" w:type="dxa"/>
            <w:vAlign w:val="center"/>
          </w:tcPr>
          <w:p>
            <w:pPr>
              <w:autoSpaceDN w:val="0"/>
              <w:spacing w:line="300" w:lineRule="exact"/>
              <w:jc w:val="center"/>
              <w:textAlignment w:val="center"/>
              <w:rPr>
                <w:rFonts w:ascii="仿宋_GB2312" w:hAnsi="仿宋_GB2312"/>
                <w:color w:val="000000"/>
                <w:sz w:val="24"/>
              </w:rPr>
            </w:pPr>
            <w:r>
              <w:rPr>
                <w:rFonts w:hint="eastAsia" w:ascii="仿宋_GB2312" w:hAnsi="仿宋_GB2312"/>
                <w:color w:val="000000"/>
                <w:sz w:val="24"/>
              </w:rPr>
              <w:t>27</w:t>
            </w:r>
          </w:p>
        </w:tc>
        <w:tc>
          <w:tcPr>
            <w:tcW w:w="1213"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行政处罚</w:t>
            </w:r>
          </w:p>
        </w:tc>
        <w:tc>
          <w:tcPr>
            <w:tcW w:w="187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回收拆解企业违反细则第二十八、第二十九条的处罚</w:t>
            </w:r>
          </w:p>
        </w:tc>
        <w:tc>
          <w:tcPr>
            <w:tcW w:w="1300" w:type="dxa"/>
            <w:vAlign w:val="center"/>
          </w:tcPr>
          <w:p>
            <w:pPr>
              <w:tabs>
                <w:tab w:val="left" w:pos="7937"/>
              </w:tabs>
              <w:spacing w:line="200" w:lineRule="exact"/>
              <w:jc w:val="left"/>
              <w:rPr>
                <w:rFonts w:ascii="宋体" w:hAnsi="宋体" w:eastAsia="宋体"/>
                <w:sz w:val="18"/>
                <w:szCs w:val="18"/>
              </w:rPr>
            </w:pPr>
            <w:r>
              <w:rPr>
                <w:rFonts w:ascii="宋体" w:hAnsi="宋体" w:eastAsia="宋体"/>
                <w:sz w:val="18"/>
                <w:szCs w:val="18"/>
              </w:rPr>
              <w:t>玉田县商务和投资促进局</w:t>
            </w:r>
          </w:p>
        </w:tc>
        <w:tc>
          <w:tcPr>
            <w:tcW w:w="191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《报废机动车回收管理办法实施细则》第五十条</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违反本细则第二十八条、第二十九条规定，回收拆解企业出售的报废机动车“五大总成”及其他零部件不符合相关要求的，由县级以上地方商务主管部门按照《管理办法》第二十一条规定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回收拆解企业将报废机动车“五大总成”及其他零部件出售给或者交予本细则第二十八条、第二十九条规定以外企业处理的，由县级以上地方商务主管部门会同有关部门责令改正，并处1万元以上3万元以下的罚款。</w:t>
            </w:r>
          </w:p>
        </w:tc>
        <w:tc>
          <w:tcPr>
            <w:tcW w:w="3434"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1、立案责任：发现经营者涉嫌违反本细则第二十八条、第二十九条规定的，予以审查，决定是否立案。</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执行责任：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回收拆解企业将报废机动车“五大总成”及其他零部件出售给或者交予本细则第二十八条、第二十九条规定以外企业处理的，由县级以上地方商务主管部门会同有关部门责令改正，并处1万元以上3万元以下的罚款。</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325"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3、违反相关规定的，按照《管理办法》第二十五条规定追究责任。任何单位和个人有权对相关部门及其工作人员的违法违规行为进行举报；</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5、应当依法移送追究刑事责任，而未依法移送有权机关的；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00" w:lineRule="exact"/>
              <w:jc w:val="left"/>
              <w:rPr>
                <w:rFonts w:ascii="宋体" w:hAnsi="宋体" w:eastAsia="宋体"/>
                <w:sz w:val="18"/>
                <w:szCs w:val="18"/>
              </w:rPr>
            </w:pPr>
            <w:r>
              <w:rPr>
                <w:rFonts w:hint="eastAsia" w:ascii="宋体" w:hAnsi="宋体" w:eastAsia="宋体"/>
                <w:sz w:val="18"/>
                <w:szCs w:val="18"/>
              </w:rPr>
              <w:t>11、其他违反法律法规规章文件规定的行为。</w:t>
            </w:r>
          </w:p>
        </w:tc>
        <w:tc>
          <w:tcPr>
            <w:tcW w:w="1002" w:type="dxa"/>
            <w:vAlign w:val="center"/>
          </w:tcPr>
          <w:p>
            <w:pPr>
              <w:tabs>
                <w:tab w:val="left" w:pos="7937"/>
              </w:tabs>
              <w:spacing w:line="200" w:lineRule="exact"/>
              <w:jc w:val="left"/>
              <w:rPr>
                <w:rFonts w:ascii="宋体" w:hAnsi="宋体" w:eastAsia="宋体"/>
                <w:sz w:val="18"/>
                <w:szCs w:val="18"/>
              </w:rPr>
            </w:pPr>
          </w:p>
        </w:tc>
      </w:tr>
    </w:tbl>
    <w:p>
      <w:pPr>
        <w:spacing w:line="600" w:lineRule="exact"/>
        <w:jc w:val="center"/>
        <w:rPr>
          <w:rFonts w:ascii="方正小标宋简体" w:hAnsi="方正小标宋简体" w:eastAsia="方正小标宋简体"/>
          <w:sz w:val="36"/>
        </w:rPr>
      </w:pPr>
      <w:r>
        <w:rPr>
          <w:rFonts w:hint="eastAsia" w:ascii="方正小标宋简体" w:hAnsi="方正小标宋简体" w:eastAsia="方正小标宋简体"/>
          <w:sz w:val="36"/>
        </w:rPr>
        <w:t>权责清单（行政检查类）</w:t>
      </w:r>
    </w:p>
    <w:p>
      <w:pPr>
        <w:spacing w:line="600" w:lineRule="exact"/>
        <w:rPr>
          <w:rFonts w:ascii="方正小标宋简体" w:hAnsi="方正小标宋简体" w:eastAsia="方正小标宋简体"/>
          <w:sz w:val="36"/>
        </w:rPr>
      </w:pPr>
    </w:p>
    <w:tbl>
      <w:tblPr>
        <w:tblStyle w:val="4"/>
        <w:tblW w:w="13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2075"/>
        <w:gridCol w:w="2921"/>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690" w:type="dxa"/>
            <w:vAlign w:val="center"/>
          </w:tcPr>
          <w:p>
            <w:pPr>
              <w:tabs>
                <w:tab w:val="left" w:pos="7937"/>
              </w:tabs>
              <w:spacing w:line="240" w:lineRule="exact"/>
              <w:jc w:val="center"/>
              <w:rPr>
                <w:rFonts w:ascii="宋体" w:hAnsi="宋体" w:eastAsia="宋体"/>
                <w:sz w:val="18"/>
              </w:rPr>
            </w:pPr>
            <w:r>
              <w:rPr>
                <w:rFonts w:hint="eastAsia" w:ascii="宋体" w:hAnsi="宋体" w:eastAsia="宋体"/>
                <w:sz w:val="18"/>
              </w:rPr>
              <w:t>28</w:t>
            </w:r>
          </w:p>
        </w:tc>
        <w:tc>
          <w:tcPr>
            <w:tcW w:w="1247" w:type="dxa"/>
            <w:vAlign w:val="center"/>
          </w:tcPr>
          <w:p>
            <w:pPr>
              <w:tabs>
                <w:tab w:val="left" w:pos="7937"/>
              </w:tabs>
              <w:spacing w:line="260" w:lineRule="exact"/>
              <w:rPr>
                <w:rFonts w:ascii="宋体" w:hAnsi="宋体" w:eastAsia="宋体"/>
                <w:sz w:val="18"/>
                <w:szCs w:val="18"/>
              </w:rPr>
            </w:pPr>
            <w:r>
              <w:rPr>
                <w:rFonts w:hint="eastAsia" w:ascii="宋体" w:hAnsi="宋体" w:eastAsia="宋体"/>
                <w:sz w:val="18"/>
                <w:szCs w:val="18"/>
              </w:rPr>
              <w:t>行政检查</w:t>
            </w:r>
          </w:p>
        </w:tc>
        <w:tc>
          <w:tcPr>
            <w:tcW w:w="1247" w:type="dxa"/>
            <w:vAlign w:val="center"/>
          </w:tcPr>
          <w:p>
            <w:pPr>
              <w:tabs>
                <w:tab w:val="left" w:pos="7937"/>
              </w:tabs>
              <w:spacing w:line="260" w:lineRule="exact"/>
              <w:rPr>
                <w:rFonts w:ascii="宋体" w:hAnsi="宋体" w:eastAsia="宋体"/>
                <w:sz w:val="18"/>
                <w:szCs w:val="18"/>
              </w:rPr>
            </w:pPr>
            <w:r>
              <w:rPr>
                <w:rFonts w:hint="eastAsia" w:ascii="宋体" w:hAnsi="宋体" w:eastAsia="宋体"/>
                <w:sz w:val="18"/>
                <w:szCs w:val="18"/>
              </w:rPr>
              <w:t>对家庭服务企业进行的行政检查</w:t>
            </w:r>
          </w:p>
        </w:tc>
        <w:tc>
          <w:tcPr>
            <w:tcW w:w="1247" w:type="dxa"/>
            <w:vAlign w:val="center"/>
          </w:tcPr>
          <w:p>
            <w:pPr>
              <w:tabs>
                <w:tab w:val="left" w:pos="7937"/>
              </w:tabs>
              <w:spacing w:line="260" w:lineRule="exact"/>
              <w:rPr>
                <w:rFonts w:ascii="宋体" w:hAnsi="宋体" w:eastAsia="宋体"/>
                <w:sz w:val="18"/>
                <w:szCs w:val="18"/>
              </w:rPr>
            </w:pPr>
            <w:r>
              <w:rPr>
                <w:rFonts w:ascii="宋体" w:hAnsi="宋体" w:eastAsia="宋体"/>
                <w:sz w:val="18"/>
                <w:szCs w:val="18"/>
              </w:rPr>
              <w:t>玉田县商务和投资促进局</w:t>
            </w:r>
          </w:p>
        </w:tc>
        <w:tc>
          <w:tcPr>
            <w:tcW w:w="2075" w:type="dxa"/>
            <w:vAlign w:val="center"/>
          </w:tcPr>
          <w:p>
            <w:pPr>
              <w:tabs>
                <w:tab w:val="left" w:pos="7937"/>
              </w:tabs>
              <w:spacing w:line="260" w:lineRule="exact"/>
              <w:rPr>
                <w:rFonts w:ascii="宋体" w:hAnsi="宋体" w:eastAsia="宋体"/>
                <w:sz w:val="18"/>
                <w:szCs w:val="18"/>
              </w:rPr>
            </w:pPr>
            <w:r>
              <w:rPr>
                <w:rFonts w:hint="eastAsia" w:ascii="宋体" w:hAnsi="宋体" w:eastAsia="宋体"/>
                <w:sz w:val="18"/>
                <w:szCs w:val="18"/>
              </w:rPr>
              <w:t>《家庭服务业管理暂行办法》（商务部令2012年第11号）第四条：县级以上商务主管部门负责本行政区域内家庭服务业的监督管理。</w:t>
            </w:r>
          </w:p>
        </w:tc>
        <w:tc>
          <w:tcPr>
            <w:tcW w:w="2921" w:type="dxa"/>
            <w:vAlign w:val="center"/>
          </w:tcPr>
          <w:p>
            <w:pPr>
              <w:spacing w:line="240" w:lineRule="exact"/>
              <w:rPr>
                <w:rFonts w:ascii="宋体" w:hAnsi="宋体" w:eastAsia="宋体"/>
                <w:sz w:val="18"/>
              </w:rPr>
            </w:pPr>
            <w:r>
              <w:rPr>
                <w:rFonts w:hint="eastAsia" w:ascii="宋体" w:hAnsi="宋体" w:eastAsia="宋体"/>
                <w:sz w:val="18"/>
              </w:rPr>
              <w:t>检查责任：1、对辖区内</w:t>
            </w:r>
            <w:r>
              <w:rPr>
                <w:rFonts w:hint="eastAsia" w:ascii="宋体" w:hAnsi="宋体" w:eastAsia="宋体" w:cs="宋体"/>
                <w:color w:val="000000"/>
                <w:sz w:val="18"/>
                <w:szCs w:val="18"/>
                <w:shd w:val="clear" w:color="auto" w:fill="FFFFFF"/>
              </w:rPr>
              <w:t>家庭服务企业活动进行检查</w:t>
            </w:r>
            <w:r>
              <w:rPr>
                <w:rFonts w:hint="eastAsia" w:ascii="宋体" w:hAnsi="宋体" w:eastAsia="宋体"/>
                <w:sz w:val="18"/>
              </w:rPr>
              <w:t>；</w:t>
            </w:r>
          </w:p>
          <w:p>
            <w:pPr>
              <w:spacing w:line="240" w:lineRule="exact"/>
              <w:rPr>
                <w:rFonts w:ascii="宋体" w:hAnsi="宋体" w:eastAsia="宋体"/>
                <w:sz w:val="18"/>
              </w:rPr>
            </w:pPr>
            <w:r>
              <w:rPr>
                <w:rFonts w:ascii="宋体" w:hAnsi="宋体" w:eastAsia="宋体"/>
                <w:sz w:val="18"/>
              </w:rPr>
              <w:t>2.</w:t>
            </w:r>
            <w:r>
              <w:rPr>
                <w:rFonts w:hint="eastAsia" w:ascii="宋体" w:hAnsi="宋体" w:eastAsia="宋体"/>
                <w:sz w:val="18"/>
              </w:rPr>
              <w:t>处置责任：对监督检查发现的问题，责令限期改正、依法实施处罚；</w:t>
            </w:r>
          </w:p>
          <w:p>
            <w:pPr>
              <w:spacing w:line="240" w:lineRule="exact"/>
              <w:rPr>
                <w:rFonts w:ascii="宋体" w:hAnsi="宋体" w:eastAsia="宋体"/>
                <w:sz w:val="18"/>
              </w:rPr>
            </w:pPr>
            <w:r>
              <w:rPr>
                <w:rFonts w:hint="eastAsia" w:ascii="宋体" w:hAnsi="宋体" w:eastAsia="宋体"/>
                <w:sz w:val="18"/>
              </w:rPr>
              <w:t>3</w:t>
            </w:r>
            <w:r>
              <w:rPr>
                <w:rFonts w:ascii="宋体" w:hAnsi="宋体" w:eastAsia="宋体"/>
                <w:sz w:val="18"/>
              </w:rPr>
              <w:t>.</w:t>
            </w:r>
            <w:r>
              <w:rPr>
                <w:rFonts w:hint="eastAsia" w:ascii="宋体" w:hAnsi="宋体" w:eastAsia="宋体"/>
                <w:sz w:val="18"/>
              </w:rPr>
              <w:t>事后管理责任：对监督检查发现的问题，企业整改完成后，对整改情况进行核查；</w:t>
            </w:r>
          </w:p>
          <w:p>
            <w:pPr>
              <w:tabs>
                <w:tab w:val="left" w:pos="7937"/>
              </w:tabs>
              <w:spacing w:line="260" w:lineRule="exact"/>
              <w:rPr>
                <w:rFonts w:ascii="宋体" w:hAnsi="宋体" w:eastAsia="宋体"/>
                <w:sz w:val="18"/>
                <w:szCs w:val="18"/>
              </w:rPr>
            </w:pPr>
          </w:p>
        </w:tc>
        <w:tc>
          <w:tcPr>
            <w:tcW w:w="3050" w:type="dxa"/>
            <w:vAlign w:val="center"/>
          </w:tcPr>
          <w:p>
            <w:pPr>
              <w:tabs>
                <w:tab w:val="left" w:pos="7937"/>
              </w:tabs>
              <w:spacing w:line="260" w:lineRule="exact"/>
              <w:rPr>
                <w:rFonts w:ascii="宋体" w:hAnsi="宋体" w:eastAsia="宋体"/>
                <w:sz w:val="18"/>
                <w:szCs w:val="18"/>
              </w:rPr>
            </w:pPr>
            <w:r>
              <w:rPr>
                <w:rFonts w:hint="eastAsia" w:ascii="仿宋" w:hAnsi="仿宋" w:eastAsia="仿宋" w:cs="宋体"/>
                <w:bCs/>
                <w:color w:val="000000"/>
                <w:kern w:val="0"/>
              </w:rPr>
              <w:t xml:space="preserve"> </w:t>
            </w:r>
            <w:r>
              <w:rPr>
                <w:rFonts w:hint="eastAsia" w:ascii="宋体" w:hAnsi="宋体" w:eastAsia="宋体"/>
                <w:sz w:val="18"/>
              </w:rPr>
              <w:t>商务主管部门在家庭服务业监督管理工作中，玩忽职守、滥用职权、徇私舞弊的，依法给予行政处分；构成犯罪的，依法追究刑事责任。</w:t>
            </w:r>
          </w:p>
        </w:tc>
        <w:tc>
          <w:tcPr>
            <w:tcW w:w="1375" w:type="dxa"/>
            <w:vAlign w:val="center"/>
          </w:tcPr>
          <w:p>
            <w:pPr>
              <w:tabs>
                <w:tab w:val="left" w:pos="7937"/>
              </w:tabs>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trPr>
        <w:tc>
          <w:tcPr>
            <w:tcW w:w="690" w:type="dxa"/>
            <w:vAlign w:val="center"/>
          </w:tcPr>
          <w:p>
            <w:pPr>
              <w:tabs>
                <w:tab w:val="left" w:pos="7937"/>
              </w:tabs>
              <w:spacing w:line="260" w:lineRule="exact"/>
              <w:rPr>
                <w:rFonts w:ascii="宋体" w:hAnsi="宋体" w:eastAsia="宋体"/>
                <w:sz w:val="18"/>
                <w:szCs w:val="18"/>
              </w:rPr>
            </w:pPr>
            <w:r>
              <w:rPr>
                <w:rFonts w:hint="eastAsia" w:ascii="宋体" w:hAnsi="宋体" w:eastAsia="宋体"/>
                <w:sz w:val="18"/>
                <w:szCs w:val="18"/>
              </w:rPr>
              <w:t>29</w:t>
            </w:r>
          </w:p>
        </w:tc>
        <w:tc>
          <w:tcPr>
            <w:tcW w:w="1247" w:type="dxa"/>
            <w:vAlign w:val="center"/>
          </w:tcPr>
          <w:p>
            <w:pPr>
              <w:tabs>
                <w:tab w:val="left" w:pos="7937"/>
              </w:tabs>
              <w:spacing w:line="260" w:lineRule="exact"/>
              <w:rPr>
                <w:rFonts w:ascii="宋体" w:hAnsi="宋体" w:eastAsia="宋体"/>
                <w:sz w:val="18"/>
                <w:szCs w:val="18"/>
              </w:rPr>
            </w:pPr>
            <w:r>
              <w:rPr>
                <w:rFonts w:hint="eastAsia" w:ascii="宋体" w:hAnsi="宋体" w:eastAsia="宋体"/>
                <w:sz w:val="18"/>
                <w:szCs w:val="18"/>
              </w:rPr>
              <w:t>行政检查</w:t>
            </w:r>
          </w:p>
        </w:tc>
        <w:tc>
          <w:tcPr>
            <w:tcW w:w="1247" w:type="dxa"/>
            <w:vAlign w:val="center"/>
          </w:tcPr>
          <w:p>
            <w:pPr>
              <w:tabs>
                <w:tab w:val="left" w:pos="7937"/>
              </w:tabs>
              <w:spacing w:line="260" w:lineRule="exact"/>
              <w:rPr>
                <w:rFonts w:ascii="宋体" w:hAnsi="宋体" w:eastAsia="宋体"/>
                <w:sz w:val="18"/>
                <w:szCs w:val="18"/>
              </w:rPr>
            </w:pPr>
            <w:r>
              <w:rPr>
                <w:rFonts w:hint="eastAsia" w:ascii="宋体" w:hAnsi="宋体" w:eastAsia="宋体"/>
                <w:sz w:val="18"/>
                <w:szCs w:val="18"/>
              </w:rPr>
              <w:t>对洗染经营企业进行的行政检查</w:t>
            </w:r>
          </w:p>
        </w:tc>
        <w:tc>
          <w:tcPr>
            <w:tcW w:w="1247" w:type="dxa"/>
            <w:vAlign w:val="center"/>
          </w:tcPr>
          <w:p>
            <w:pPr>
              <w:tabs>
                <w:tab w:val="left" w:pos="7937"/>
              </w:tabs>
              <w:spacing w:line="260" w:lineRule="exact"/>
              <w:rPr>
                <w:rFonts w:ascii="宋体" w:hAnsi="宋体" w:eastAsia="宋体"/>
                <w:sz w:val="18"/>
                <w:szCs w:val="18"/>
              </w:rPr>
            </w:pPr>
            <w:r>
              <w:rPr>
                <w:rFonts w:ascii="宋体" w:hAnsi="宋体" w:eastAsia="宋体"/>
                <w:sz w:val="18"/>
                <w:szCs w:val="18"/>
              </w:rPr>
              <w:t>玉田县商务和投资促进局</w:t>
            </w:r>
          </w:p>
        </w:tc>
        <w:tc>
          <w:tcPr>
            <w:tcW w:w="2075" w:type="dxa"/>
            <w:vAlign w:val="center"/>
          </w:tcPr>
          <w:p>
            <w:pPr>
              <w:tabs>
                <w:tab w:val="left" w:pos="7937"/>
              </w:tabs>
              <w:spacing w:line="260" w:lineRule="exact"/>
              <w:rPr>
                <w:rFonts w:ascii="宋体" w:hAnsi="宋体" w:eastAsia="宋体"/>
                <w:sz w:val="18"/>
                <w:szCs w:val="18"/>
              </w:rPr>
            </w:pPr>
            <w:r>
              <w:rPr>
                <w:rFonts w:hint="eastAsia" w:ascii="宋体" w:hAnsi="宋体" w:eastAsia="宋体"/>
                <w:sz w:val="18"/>
                <w:szCs w:val="18"/>
              </w:rPr>
              <w:t>《洗染业管理办法》（商务部、工商总局、环保总局令2007年第5号）第三条：地方各级商务主管部门负责本行政区域内洗染行业指导、协调、监督和管理工作。</w:t>
            </w:r>
          </w:p>
        </w:tc>
        <w:tc>
          <w:tcPr>
            <w:tcW w:w="2921" w:type="dxa"/>
            <w:vAlign w:val="center"/>
          </w:tcPr>
          <w:p>
            <w:pPr>
              <w:spacing w:line="240" w:lineRule="exact"/>
              <w:rPr>
                <w:rFonts w:ascii="宋体" w:hAnsi="宋体" w:eastAsia="宋体"/>
                <w:sz w:val="18"/>
              </w:rPr>
            </w:pPr>
            <w:r>
              <w:rPr>
                <w:rFonts w:hint="eastAsia" w:ascii="宋体" w:hAnsi="宋体" w:eastAsia="宋体"/>
                <w:sz w:val="18"/>
              </w:rPr>
              <w:t>检查责任：1、对辖区内</w:t>
            </w:r>
            <w:r>
              <w:rPr>
                <w:rFonts w:hint="eastAsia" w:ascii="宋体" w:hAnsi="宋体" w:eastAsia="宋体" w:cs="宋体"/>
                <w:color w:val="000000"/>
                <w:sz w:val="18"/>
                <w:szCs w:val="18"/>
                <w:shd w:val="clear" w:color="auto" w:fill="FFFFFF"/>
              </w:rPr>
              <w:t>家庭服务企业活动进行检查</w:t>
            </w:r>
            <w:r>
              <w:rPr>
                <w:rFonts w:hint="eastAsia" w:ascii="宋体" w:hAnsi="宋体" w:eastAsia="宋体"/>
                <w:sz w:val="18"/>
              </w:rPr>
              <w:t>；</w:t>
            </w:r>
          </w:p>
          <w:p>
            <w:pPr>
              <w:spacing w:line="240" w:lineRule="exact"/>
              <w:rPr>
                <w:rFonts w:ascii="宋体" w:hAnsi="宋体" w:eastAsia="宋体"/>
                <w:sz w:val="18"/>
              </w:rPr>
            </w:pPr>
            <w:r>
              <w:rPr>
                <w:rFonts w:ascii="宋体" w:hAnsi="宋体" w:eastAsia="宋体"/>
                <w:sz w:val="18"/>
              </w:rPr>
              <w:t>2.</w:t>
            </w:r>
            <w:r>
              <w:rPr>
                <w:rFonts w:hint="eastAsia" w:ascii="宋体" w:hAnsi="宋体" w:eastAsia="宋体"/>
                <w:sz w:val="18"/>
              </w:rPr>
              <w:t>处置责任：对监督检查发现的问题，责令限期改正、依法实施处罚；</w:t>
            </w:r>
          </w:p>
          <w:p>
            <w:pPr>
              <w:spacing w:line="240" w:lineRule="exact"/>
              <w:rPr>
                <w:rFonts w:ascii="宋体" w:hAnsi="宋体" w:eastAsia="宋体"/>
                <w:sz w:val="18"/>
              </w:rPr>
            </w:pPr>
            <w:r>
              <w:rPr>
                <w:rFonts w:hint="eastAsia" w:ascii="宋体" w:hAnsi="宋体" w:eastAsia="宋体"/>
                <w:sz w:val="18"/>
              </w:rPr>
              <w:t>3</w:t>
            </w:r>
            <w:r>
              <w:rPr>
                <w:rFonts w:ascii="宋体" w:hAnsi="宋体" w:eastAsia="宋体"/>
                <w:sz w:val="18"/>
              </w:rPr>
              <w:t>.</w:t>
            </w:r>
            <w:r>
              <w:rPr>
                <w:rFonts w:hint="eastAsia" w:ascii="宋体" w:hAnsi="宋体" w:eastAsia="宋体"/>
                <w:sz w:val="18"/>
              </w:rPr>
              <w:t>事后管理责任：对监督检查发现的问题，企业整改完成后，对整改情况进行核查；</w:t>
            </w:r>
          </w:p>
          <w:p>
            <w:pPr>
              <w:tabs>
                <w:tab w:val="left" w:pos="7937"/>
              </w:tabs>
              <w:spacing w:line="260" w:lineRule="exact"/>
              <w:rPr>
                <w:rFonts w:ascii="宋体" w:hAnsi="宋体" w:eastAsia="宋体"/>
                <w:sz w:val="18"/>
                <w:szCs w:val="18"/>
              </w:rPr>
            </w:pPr>
          </w:p>
        </w:tc>
        <w:tc>
          <w:tcPr>
            <w:tcW w:w="3050" w:type="dxa"/>
            <w:vAlign w:val="center"/>
          </w:tcPr>
          <w:p>
            <w:pPr>
              <w:tabs>
                <w:tab w:val="left" w:pos="7937"/>
              </w:tabs>
              <w:spacing w:line="260" w:lineRule="exact"/>
              <w:rPr>
                <w:rFonts w:ascii="宋体" w:hAnsi="宋体" w:eastAsia="宋体"/>
                <w:spacing w:val="-4"/>
                <w:sz w:val="18"/>
                <w:szCs w:val="18"/>
              </w:rPr>
            </w:pPr>
            <w:r>
              <w:rPr>
                <w:rFonts w:hint="eastAsia" w:ascii="宋体" w:hAnsi="宋体" w:eastAsia="宋体"/>
                <w:sz w:val="18"/>
                <w:szCs w:val="18"/>
              </w:rPr>
              <w:t>因不履行或不正确履行行政职责，有下列情形的，行政机关及相关工作人员应承担相应责任：</w:t>
            </w:r>
          </w:p>
          <w:p>
            <w:pPr>
              <w:spacing w:line="240" w:lineRule="exact"/>
              <w:rPr>
                <w:rFonts w:ascii="宋体" w:hAnsi="宋体" w:eastAsia="宋体"/>
                <w:spacing w:val="-4"/>
                <w:sz w:val="18"/>
                <w:szCs w:val="18"/>
              </w:rPr>
            </w:pPr>
            <w:r>
              <w:rPr>
                <w:rFonts w:hint="eastAsia" w:ascii="宋体" w:hAnsi="宋体" w:eastAsia="宋体"/>
                <w:spacing w:val="-4"/>
                <w:sz w:val="18"/>
                <w:szCs w:val="18"/>
              </w:rPr>
              <w:t>1</w:t>
            </w:r>
            <w:r>
              <w:rPr>
                <w:rFonts w:ascii="宋体" w:hAnsi="宋体" w:eastAsia="宋体"/>
                <w:spacing w:val="-4"/>
                <w:sz w:val="18"/>
                <w:szCs w:val="18"/>
              </w:rPr>
              <w:t>.</w:t>
            </w:r>
            <w:r>
              <w:rPr>
                <w:rFonts w:hint="eastAsia" w:ascii="宋体" w:hAnsi="宋体" w:eastAsia="宋体"/>
                <w:spacing w:val="-4"/>
                <w:sz w:val="18"/>
                <w:szCs w:val="18"/>
              </w:rPr>
              <w:t>对在检查中发现的问题，不责令限期改正、不依法实施处罚；</w:t>
            </w:r>
          </w:p>
          <w:p>
            <w:pPr>
              <w:spacing w:line="240" w:lineRule="exact"/>
              <w:rPr>
                <w:rFonts w:ascii="宋体" w:hAnsi="宋体" w:eastAsia="宋体"/>
                <w:spacing w:val="-4"/>
                <w:sz w:val="18"/>
                <w:szCs w:val="18"/>
              </w:rPr>
            </w:pPr>
            <w:r>
              <w:rPr>
                <w:rFonts w:hint="eastAsia" w:ascii="宋体" w:hAnsi="宋体" w:eastAsia="宋体"/>
                <w:spacing w:val="-4"/>
                <w:sz w:val="18"/>
                <w:szCs w:val="18"/>
              </w:rPr>
              <w:t>2</w:t>
            </w:r>
            <w:r>
              <w:rPr>
                <w:rFonts w:ascii="宋体" w:hAnsi="宋体" w:eastAsia="宋体"/>
                <w:spacing w:val="-4"/>
                <w:sz w:val="18"/>
                <w:szCs w:val="18"/>
              </w:rPr>
              <w:t>.</w:t>
            </w:r>
            <w:r>
              <w:rPr>
                <w:rFonts w:hint="eastAsia" w:ascii="宋体" w:hAnsi="宋体" w:eastAsia="宋体"/>
                <w:spacing w:val="-4"/>
                <w:sz w:val="18"/>
                <w:szCs w:val="18"/>
              </w:rPr>
              <w:t>对监督检查发现的问题，企业整改完成后，不对整改情况进行核查；</w:t>
            </w:r>
          </w:p>
          <w:p>
            <w:pPr>
              <w:spacing w:line="240" w:lineRule="exact"/>
              <w:rPr>
                <w:rFonts w:ascii="宋体" w:hAnsi="宋体" w:eastAsia="宋体"/>
                <w:sz w:val="18"/>
              </w:rPr>
            </w:pPr>
            <w:r>
              <w:rPr>
                <w:rFonts w:hint="eastAsia" w:ascii="宋体" w:hAnsi="宋体" w:eastAsia="宋体"/>
                <w:spacing w:val="-4"/>
                <w:sz w:val="18"/>
                <w:szCs w:val="18"/>
              </w:rPr>
              <w:t>3</w:t>
            </w:r>
            <w:r>
              <w:rPr>
                <w:rFonts w:ascii="宋体" w:hAnsi="宋体" w:eastAsia="宋体"/>
                <w:spacing w:val="-4"/>
                <w:sz w:val="18"/>
                <w:szCs w:val="18"/>
              </w:rPr>
              <w:t>.</w:t>
            </w:r>
            <w:r>
              <w:rPr>
                <w:rFonts w:hint="eastAsia" w:ascii="宋体" w:hAnsi="宋体" w:eastAsia="宋体"/>
                <w:spacing w:val="-4"/>
                <w:sz w:val="18"/>
                <w:szCs w:val="18"/>
              </w:rPr>
              <w:t>其他违反法律法规规章文件规定的行为。</w:t>
            </w:r>
          </w:p>
          <w:p>
            <w:pPr>
              <w:tabs>
                <w:tab w:val="left" w:pos="7937"/>
              </w:tabs>
              <w:spacing w:line="260" w:lineRule="exact"/>
              <w:rPr>
                <w:rFonts w:ascii="宋体" w:hAnsi="宋体" w:eastAsia="宋体"/>
                <w:sz w:val="18"/>
                <w:szCs w:val="18"/>
              </w:rPr>
            </w:pPr>
          </w:p>
        </w:tc>
        <w:tc>
          <w:tcPr>
            <w:tcW w:w="1375" w:type="dxa"/>
            <w:vAlign w:val="center"/>
          </w:tcPr>
          <w:p>
            <w:pPr>
              <w:tabs>
                <w:tab w:val="left" w:pos="7937"/>
              </w:tabs>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trPr>
        <w:tc>
          <w:tcPr>
            <w:tcW w:w="690" w:type="dxa"/>
            <w:vAlign w:val="center"/>
          </w:tcPr>
          <w:p>
            <w:pPr>
              <w:tabs>
                <w:tab w:val="left" w:pos="7937"/>
              </w:tabs>
              <w:spacing w:line="260" w:lineRule="exact"/>
              <w:rPr>
                <w:rFonts w:ascii="宋体" w:hAnsi="宋体" w:eastAsia="宋体"/>
                <w:sz w:val="18"/>
                <w:szCs w:val="18"/>
              </w:rPr>
            </w:pPr>
            <w:r>
              <w:rPr>
                <w:rFonts w:hint="eastAsia" w:ascii="宋体" w:hAnsi="宋体" w:eastAsia="宋体"/>
                <w:sz w:val="18"/>
                <w:szCs w:val="18"/>
              </w:rPr>
              <w:t>30</w:t>
            </w:r>
          </w:p>
        </w:tc>
        <w:tc>
          <w:tcPr>
            <w:tcW w:w="1247" w:type="dxa"/>
            <w:vAlign w:val="center"/>
          </w:tcPr>
          <w:p>
            <w:pPr>
              <w:tabs>
                <w:tab w:val="left" w:pos="7937"/>
              </w:tabs>
              <w:spacing w:line="260" w:lineRule="exact"/>
              <w:rPr>
                <w:rFonts w:ascii="宋体" w:hAnsi="宋体" w:eastAsia="宋体"/>
                <w:sz w:val="18"/>
                <w:szCs w:val="18"/>
              </w:rPr>
            </w:pPr>
            <w:r>
              <w:rPr>
                <w:rFonts w:hint="eastAsia" w:ascii="宋体" w:hAnsi="宋体" w:eastAsia="宋体"/>
                <w:sz w:val="18"/>
                <w:szCs w:val="18"/>
              </w:rPr>
              <w:t>行政检查</w:t>
            </w:r>
          </w:p>
        </w:tc>
        <w:tc>
          <w:tcPr>
            <w:tcW w:w="1247" w:type="dxa"/>
            <w:vAlign w:val="center"/>
          </w:tcPr>
          <w:p>
            <w:pPr>
              <w:tabs>
                <w:tab w:val="left" w:pos="7937"/>
              </w:tabs>
              <w:spacing w:line="260" w:lineRule="exact"/>
              <w:rPr>
                <w:rFonts w:ascii="宋体" w:hAnsi="宋体" w:eastAsia="宋体"/>
                <w:sz w:val="18"/>
                <w:szCs w:val="18"/>
              </w:rPr>
            </w:pPr>
            <w:r>
              <w:rPr>
                <w:rFonts w:hint="eastAsia" w:ascii="宋体" w:hAnsi="宋体" w:eastAsia="宋体"/>
                <w:sz w:val="18"/>
                <w:szCs w:val="18"/>
              </w:rPr>
              <w:t>对家电维修企业进行的行政检查</w:t>
            </w:r>
          </w:p>
        </w:tc>
        <w:tc>
          <w:tcPr>
            <w:tcW w:w="1247" w:type="dxa"/>
            <w:vAlign w:val="center"/>
          </w:tcPr>
          <w:p>
            <w:pPr>
              <w:tabs>
                <w:tab w:val="left" w:pos="7937"/>
              </w:tabs>
              <w:spacing w:line="260" w:lineRule="exact"/>
              <w:rPr>
                <w:rFonts w:ascii="宋体" w:hAnsi="宋体" w:eastAsia="宋体"/>
                <w:sz w:val="18"/>
                <w:szCs w:val="18"/>
              </w:rPr>
            </w:pPr>
            <w:r>
              <w:rPr>
                <w:rFonts w:ascii="宋体" w:hAnsi="宋体" w:eastAsia="宋体"/>
                <w:sz w:val="18"/>
                <w:szCs w:val="18"/>
              </w:rPr>
              <w:t>玉田县商务和投资促进局</w:t>
            </w:r>
          </w:p>
        </w:tc>
        <w:tc>
          <w:tcPr>
            <w:tcW w:w="2075" w:type="dxa"/>
            <w:vAlign w:val="center"/>
          </w:tcPr>
          <w:p>
            <w:pPr>
              <w:tabs>
                <w:tab w:val="left" w:pos="7937"/>
              </w:tabs>
              <w:spacing w:line="260" w:lineRule="exact"/>
              <w:rPr>
                <w:rFonts w:ascii="宋体" w:hAnsi="宋体" w:eastAsia="宋体"/>
                <w:sz w:val="18"/>
                <w:szCs w:val="18"/>
              </w:rPr>
            </w:pPr>
            <w:r>
              <w:rPr>
                <w:rFonts w:hint="eastAsia" w:ascii="宋体" w:hAnsi="宋体" w:eastAsia="宋体"/>
                <w:sz w:val="18"/>
                <w:szCs w:val="18"/>
              </w:rPr>
              <w:t>《家电维修服务业管理办法》（商务部令2012年第7号 2012年8月1日起施行）第三条： </w:t>
            </w:r>
            <w:r>
              <w:rPr>
                <w:rFonts w:ascii="宋体" w:hAnsi="宋体" w:eastAsia="宋体"/>
                <w:sz w:val="18"/>
                <w:szCs w:val="18"/>
              </w:rPr>
              <w:t>商务部负责家电维修服务业的行业管理工作，各级商务主管部门负责本行政区域内的家电维修服务业的指导、协调和监督管理工作。</w:t>
            </w:r>
          </w:p>
        </w:tc>
        <w:tc>
          <w:tcPr>
            <w:tcW w:w="2921" w:type="dxa"/>
            <w:vAlign w:val="center"/>
          </w:tcPr>
          <w:p>
            <w:pPr>
              <w:spacing w:line="240" w:lineRule="exact"/>
              <w:rPr>
                <w:rFonts w:ascii="宋体" w:hAnsi="宋体" w:eastAsia="宋体"/>
                <w:sz w:val="18"/>
              </w:rPr>
            </w:pPr>
            <w:r>
              <w:rPr>
                <w:rFonts w:hint="eastAsia" w:ascii="宋体" w:hAnsi="宋体" w:eastAsia="宋体"/>
                <w:sz w:val="18"/>
              </w:rPr>
              <w:t>检查责任：1、对辖区内家电维修服务</w:t>
            </w:r>
            <w:r>
              <w:rPr>
                <w:rFonts w:hint="eastAsia" w:ascii="宋体" w:hAnsi="宋体" w:eastAsia="宋体" w:cs="宋体"/>
                <w:color w:val="000000"/>
                <w:sz w:val="18"/>
                <w:szCs w:val="18"/>
                <w:shd w:val="clear" w:color="auto" w:fill="FFFFFF"/>
              </w:rPr>
              <w:t>企业活动进行检查</w:t>
            </w:r>
            <w:r>
              <w:rPr>
                <w:rFonts w:hint="eastAsia" w:ascii="宋体" w:hAnsi="宋体" w:eastAsia="宋体"/>
                <w:sz w:val="18"/>
              </w:rPr>
              <w:t>；</w:t>
            </w:r>
          </w:p>
          <w:p>
            <w:pPr>
              <w:spacing w:line="240" w:lineRule="exact"/>
              <w:rPr>
                <w:rFonts w:ascii="宋体" w:hAnsi="宋体" w:eastAsia="宋体"/>
                <w:sz w:val="18"/>
              </w:rPr>
            </w:pPr>
            <w:r>
              <w:rPr>
                <w:rFonts w:ascii="宋体" w:hAnsi="宋体" w:eastAsia="宋体"/>
                <w:sz w:val="18"/>
              </w:rPr>
              <w:t>2.</w:t>
            </w:r>
            <w:r>
              <w:rPr>
                <w:rFonts w:hint="eastAsia" w:ascii="宋体" w:hAnsi="宋体" w:eastAsia="宋体"/>
                <w:sz w:val="18"/>
              </w:rPr>
              <w:t>处置责任：对监督检查发现的问题，责令限期改正、依法实施处罚；</w:t>
            </w:r>
          </w:p>
          <w:p>
            <w:pPr>
              <w:spacing w:line="240" w:lineRule="exact"/>
              <w:rPr>
                <w:rFonts w:ascii="宋体" w:hAnsi="宋体" w:eastAsia="宋体"/>
                <w:sz w:val="18"/>
              </w:rPr>
            </w:pPr>
            <w:r>
              <w:rPr>
                <w:rFonts w:hint="eastAsia" w:ascii="宋体" w:hAnsi="宋体" w:eastAsia="宋体"/>
                <w:sz w:val="18"/>
              </w:rPr>
              <w:t>3</w:t>
            </w:r>
            <w:r>
              <w:rPr>
                <w:rFonts w:ascii="宋体" w:hAnsi="宋体" w:eastAsia="宋体"/>
                <w:sz w:val="18"/>
              </w:rPr>
              <w:t>.</w:t>
            </w:r>
            <w:r>
              <w:rPr>
                <w:rFonts w:hint="eastAsia" w:ascii="宋体" w:hAnsi="宋体" w:eastAsia="宋体"/>
                <w:sz w:val="18"/>
              </w:rPr>
              <w:t>事后管理责任：对监督检查发现的问题，企业整改完成后，对整改情况进行核查；</w:t>
            </w:r>
          </w:p>
          <w:p>
            <w:pPr>
              <w:tabs>
                <w:tab w:val="left" w:pos="7937"/>
              </w:tabs>
              <w:spacing w:line="260" w:lineRule="exact"/>
              <w:rPr>
                <w:rFonts w:ascii="宋体" w:hAnsi="宋体" w:eastAsia="宋体"/>
                <w:sz w:val="18"/>
                <w:szCs w:val="18"/>
              </w:rPr>
            </w:pPr>
          </w:p>
        </w:tc>
        <w:tc>
          <w:tcPr>
            <w:tcW w:w="3050" w:type="dxa"/>
            <w:vAlign w:val="center"/>
          </w:tcPr>
          <w:p>
            <w:pPr>
              <w:tabs>
                <w:tab w:val="left" w:pos="7937"/>
              </w:tabs>
              <w:spacing w:line="260" w:lineRule="exact"/>
              <w:rPr>
                <w:rFonts w:ascii="宋体" w:hAnsi="宋体" w:eastAsia="宋体"/>
                <w:spacing w:val="-4"/>
                <w:sz w:val="18"/>
                <w:szCs w:val="18"/>
              </w:rPr>
            </w:pPr>
            <w:r>
              <w:rPr>
                <w:rFonts w:hint="eastAsia" w:ascii="宋体" w:hAnsi="宋体" w:eastAsia="宋体"/>
                <w:sz w:val="18"/>
                <w:szCs w:val="18"/>
              </w:rPr>
              <w:t>因不履行或不正确履行行政职责，有下列情形的，行政机关及相关工作人员应承担相应责任：</w:t>
            </w:r>
          </w:p>
          <w:p>
            <w:pPr>
              <w:spacing w:line="240" w:lineRule="exact"/>
              <w:rPr>
                <w:rFonts w:ascii="宋体" w:hAnsi="宋体" w:eastAsia="宋体"/>
                <w:spacing w:val="-4"/>
                <w:sz w:val="18"/>
                <w:szCs w:val="18"/>
              </w:rPr>
            </w:pPr>
            <w:r>
              <w:rPr>
                <w:rFonts w:hint="eastAsia" w:ascii="宋体" w:hAnsi="宋体" w:eastAsia="宋体"/>
                <w:spacing w:val="-4"/>
                <w:sz w:val="18"/>
                <w:szCs w:val="18"/>
              </w:rPr>
              <w:t>1</w:t>
            </w:r>
            <w:r>
              <w:rPr>
                <w:rFonts w:ascii="宋体" w:hAnsi="宋体" w:eastAsia="宋体"/>
                <w:spacing w:val="-4"/>
                <w:sz w:val="18"/>
                <w:szCs w:val="18"/>
              </w:rPr>
              <w:t>.</w:t>
            </w:r>
            <w:r>
              <w:rPr>
                <w:rFonts w:hint="eastAsia" w:ascii="宋体" w:hAnsi="宋体" w:eastAsia="宋体"/>
                <w:spacing w:val="-4"/>
                <w:sz w:val="18"/>
                <w:szCs w:val="18"/>
              </w:rPr>
              <w:t>对在检查中发现的问题，不责令限期改正、不依法实施处罚；</w:t>
            </w:r>
          </w:p>
          <w:p>
            <w:pPr>
              <w:spacing w:line="240" w:lineRule="exact"/>
              <w:rPr>
                <w:rFonts w:ascii="宋体" w:hAnsi="宋体" w:eastAsia="宋体"/>
                <w:spacing w:val="-4"/>
                <w:sz w:val="18"/>
                <w:szCs w:val="18"/>
              </w:rPr>
            </w:pPr>
            <w:r>
              <w:rPr>
                <w:rFonts w:hint="eastAsia" w:ascii="宋体" w:hAnsi="宋体" w:eastAsia="宋体"/>
                <w:spacing w:val="-4"/>
                <w:sz w:val="18"/>
                <w:szCs w:val="18"/>
              </w:rPr>
              <w:t>2</w:t>
            </w:r>
            <w:r>
              <w:rPr>
                <w:rFonts w:ascii="宋体" w:hAnsi="宋体" w:eastAsia="宋体"/>
                <w:spacing w:val="-4"/>
                <w:sz w:val="18"/>
                <w:szCs w:val="18"/>
              </w:rPr>
              <w:t>.</w:t>
            </w:r>
            <w:r>
              <w:rPr>
                <w:rFonts w:hint="eastAsia" w:ascii="宋体" w:hAnsi="宋体" w:eastAsia="宋体"/>
                <w:spacing w:val="-4"/>
                <w:sz w:val="18"/>
                <w:szCs w:val="18"/>
              </w:rPr>
              <w:t>对监督检查发现的问题，企业整改完成后，不对整改情况进行核查；</w:t>
            </w:r>
          </w:p>
          <w:p>
            <w:pPr>
              <w:spacing w:line="240" w:lineRule="exact"/>
              <w:rPr>
                <w:rFonts w:ascii="宋体" w:hAnsi="宋体" w:eastAsia="宋体"/>
                <w:sz w:val="18"/>
              </w:rPr>
            </w:pPr>
            <w:r>
              <w:rPr>
                <w:rFonts w:hint="eastAsia" w:ascii="宋体" w:hAnsi="宋体" w:eastAsia="宋体"/>
                <w:spacing w:val="-4"/>
                <w:sz w:val="18"/>
                <w:szCs w:val="18"/>
              </w:rPr>
              <w:t>3</w:t>
            </w:r>
            <w:r>
              <w:rPr>
                <w:rFonts w:ascii="宋体" w:hAnsi="宋体" w:eastAsia="宋体"/>
                <w:spacing w:val="-4"/>
                <w:sz w:val="18"/>
                <w:szCs w:val="18"/>
              </w:rPr>
              <w:t>.</w:t>
            </w:r>
            <w:r>
              <w:rPr>
                <w:rFonts w:hint="eastAsia" w:ascii="宋体" w:hAnsi="宋体" w:eastAsia="宋体"/>
                <w:spacing w:val="-4"/>
                <w:sz w:val="18"/>
                <w:szCs w:val="18"/>
              </w:rPr>
              <w:t>其他违反法律法规规章文件规定的行为。</w:t>
            </w:r>
          </w:p>
        </w:tc>
        <w:tc>
          <w:tcPr>
            <w:tcW w:w="1375" w:type="dxa"/>
            <w:vAlign w:val="center"/>
          </w:tcPr>
          <w:p>
            <w:pPr>
              <w:tabs>
                <w:tab w:val="left" w:pos="7937"/>
              </w:tabs>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690" w:type="dxa"/>
            <w:vAlign w:val="center"/>
          </w:tcPr>
          <w:p>
            <w:pPr>
              <w:tabs>
                <w:tab w:val="left" w:pos="7937"/>
              </w:tabs>
              <w:spacing w:line="260" w:lineRule="exact"/>
              <w:rPr>
                <w:rFonts w:ascii="宋体" w:hAnsi="宋体" w:eastAsia="宋体"/>
                <w:sz w:val="18"/>
                <w:szCs w:val="18"/>
              </w:rPr>
            </w:pPr>
            <w:r>
              <w:rPr>
                <w:rFonts w:hint="eastAsia" w:ascii="宋体" w:hAnsi="宋体" w:eastAsia="宋体"/>
                <w:sz w:val="18"/>
                <w:szCs w:val="18"/>
              </w:rPr>
              <w:t>31</w:t>
            </w:r>
          </w:p>
        </w:tc>
        <w:tc>
          <w:tcPr>
            <w:tcW w:w="1247" w:type="dxa"/>
            <w:vAlign w:val="center"/>
          </w:tcPr>
          <w:p>
            <w:pPr>
              <w:tabs>
                <w:tab w:val="left" w:pos="7937"/>
              </w:tabs>
              <w:spacing w:line="260" w:lineRule="exact"/>
              <w:rPr>
                <w:rFonts w:ascii="宋体" w:hAnsi="宋体" w:eastAsia="宋体"/>
                <w:sz w:val="18"/>
                <w:szCs w:val="18"/>
              </w:rPr>
            </w:pPr>
            <w:r>
              <w:rPr>
                <w:rFonts w:hint="eastAsia" w:ascii="宋体" w:hAnsi="宋体" w:eastAsia="宋体"/>
                <w:sz w:val="18"/>
                <w:szCs w:val="18"/>
              </w:rPr>
              <w:t>行政检查</w:t>
            </w:r>
          </w:p>
        </w:tc>
        <w:tc>
          <w:tcPr>
            <w:tcW w:w="1247" w:type="dxa"/>
            <w:vAlign w:val="center"/>
          </w:tcPr>
          <w:p>
            <w:pPr>
              <w:tabs>
                <w:tab w:val="left" w:pos="7937"/>
              </w:tabs>
              <w:spacing w:line="260" w:lineRule="exact"/>
              <w:rPr>
                <w:rFonts w:ascii="宋体" w:hAnsi="宋体" w:eastAsia="宋体"/>
                <w:sz w:val="18"/>
                <w:szCs w:val="18"/>
              </w:rPr>
            </w:pPr>
            <w:r>
              <w:rPr>
                <w:rFonts w:hint="eastAsia" w:ascii="宋体" w:hAnsi="宋体" w:eastAsia="宋体"/>
                <w:sz w:val="18"/>
                <w:szCs w:val="18"/>
              </w:rPr>
              <w:t>对餐饮企业进行的行政检查</w:t>
            </w:r>
          </w:p>
        </w:tc>
        <w:tc>
          <w:tcPr>
            <w:tcW w:w="1247" w:type="dxa"/>
            <w:vAlign w:val="center"/>
          </w:tcPr>
          <w:p>
            <w:pPr>
              <w:tabs>
                <w:tab w:val="left" w:pos="7937"/>
              </w:tabs>
              <w:spacing w:line="260" w:lineRule="exact"/>
              <w:rPr>
                <w:rFonts w:ascii="宋体" w:hAnsi="宋体" w:eastAsia="宋体"/>
                <w:sz w:val="18"/>
                <w:szCs w:val="18"/>
              </w:rPr>
            </w:pPr>
            <w:r>
              <w:rPr>
                <w:rFonts w:ascii="宋体" w:hAnsi="宋体" w:eastAsia="宋体"/>
                <w:sz w:val="18"/>
                <w:szCs w:val="18"/>
              </w:rPr>
              <w:t>玉田县商务和投资促进局</w:t>
            </w:r>
          </w:p>
        </w:tc>
        <w:tc>
          <w:tcPr>
            <w:tcW w:w="2075" w:type="dxa"/>
            <w:vAlign w:val="center"/>
          </w:tcPr>
          <w:p>
            <w:pPr>
              <w:tabs>
                <w:tab w:val="left" w:pos="7937"/>
              </w:tabs>
              <w:spacing w:line="260" w:lineRule="exact"/>
              <w:rPr>
                <w:rFonts w:ascii="宋体" w:hAnsi="宋体" w:eastAsia="宋体"/>
                <w:sz w:val="18"/>
                <w:szCs w:val="18"/>
              </w:rPr>
            </w:pPr>
            <w:r>
              <w:rPr>
                <w:rFonts w:hint="eastAsia" w:ascii="宋体" w:hAnsi="宋体" w:eastAsia="宋体"/>
                <w:sz w:val="18"/>
                <w:szCs w:val="18"/>
              </w:rPr>
              <w:t>《餐饮业经营管理办法</w:t>
            </w:r>
            <w:r>
              <w:rPr>
                <w:rFonts w:hint="eastAsia" w:ascii="宋体" w:hAnsi="宋体" w:eastAsia="宋体"/>
                <w:sz w:val="18"/>
                <w:szCs w:val="18"/>
              </w:rPr>
              <w:br w:type="textWrapping"/>
            </w:r>
            <w:r>
              <w:rPr>
                <w:rFonts w:hint="eastAsia" w:ascii="宋体" w:hAnsi="宋体" w:eastAsia="宋体"/>
                <w:sz w:val="18"/>
                <w:szCs w:val="18"/>
              </w:rPr>
              <w:t>（试行）》（商务部令2014年第4号 2014年11月1日起施行）第二十一条第一款： 商务、价格等主管部门依照法律法规、规章及有关规定，在各自职责范围内对餐饮业经营行为进行监督管理。</w:t>
            </w:r>
          </w:p>
          <w:p>
            <w:pPr>
              <w:tabs>
                <w:tab w:val="left" w:pos="7937"/>
              </w:tabs>
              <w:spacing w:line="260" w:lineRule="exact"/>
              <w:rPr>
                <w:rFonts w:ascii="宋体" w:hAnsi="宋体" w:eastAsia="宋体"/>
                <w:sz w:val="18"/>
                <w:szCs w:val="18"/>
              </w:rPr>
            </w:pPr>
          </w:p>
        </w:tc>
        <w:tc>
          <w:tcPr>
            <w:tcW w:w="2921" w:type="dxa"/>
            <w:vAlign w:val="center"/>
          </w:tcPr>
          <w:p>
            <w:pPr>
              <w:tabs>
                <w:tab w:val="left" w:pos="7937"/>
              </w:tabs>
              <w:spacing w:line="260" w:lineRule="exact"/>
              <w:rPr>
                <w:rFonts w:ascii="宋体" w:hAnsi="宋体" w:eastAsia="宋体"/>
                <w:sz w:val="18"/>
                <w:szCs w:val="18"/>
              </w:rPr>
            </w:pPr>
            <w:r>
              <w:rPr>
                <w:rFonts w:hint="eastAsia" w:ascii="宋体" w:hAnsi="宋体" w:eastAsia="宋体"/>
                <w:sz w:val="18"/>
                <w:szCs w:val="18"/>
              </w:rPr>
              <w:t>检查责任：1、对辖区内餐饮企业活动进行检查；</w:t>
            </w:r>
          </w:p>
          <w:p>
            <w:pPr>
              <w:tabs>
                <w:tab w:val="left" w:pos="7937"/>
              </w:tabs>
              <w:spacing w:line="260" w:lineRule="exact"/>
              <w:rPr>
                <w:rFonts w:ascii="宋体" w:hAnsi="宋体" w:eastAsia="宋体"/>
                <w:sz w:val="18"/>
                <w:szCs w:val="18"/>
              </w:rPr>
            </w:pPr>
            <w:r>
              <w:rPr>
                <w:rFonts w:ascii="宋体" w:hAnsi="宋体" w:eastAsia="宋体"/>
                <w:sz w:val="18"/>
                <w:szCs w:val="18"/>
              </w:rPr>
              <w:t>2.</w:t>
            </w:r>
            <w:r>
              <w:rPr>
                <w:rFonts w:hint="eastAsia" w:ascii="宋体" w:hAnsi="宋体" w:eastAsia="宋体"/>
                <w:sz w:val="18"/>
                <w:szCs w:val="18"/>
              </w:rPr>
              <w:t>处置责任：对监督检查发现的问题，责令限期改正、依法实施处罚；</w:t>
            </w:r>
          </w:p>
          <w:p>
            <w:pPr>
              <w:tabs>
                <w:tab w:val="left" w:pos="7937"/>
              </w:tabs>
              <w:spacing w:line="260" w:lineRule="exact"/>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w:t>
            </w:r>
            <w:r>
              <w:rPr>
                <w:rFonts w:hint="eastAsia" w:ascii="宋体" w:hAnsi="宋体" w:eastAsia="宋体"/>
                <w:sz w:val="18"/>
                <w:szCs w:val="18"/>
              </w:rPr>
              <w:t>事后管理责任：对监督检查发现的问题，企业整改完成后，对整改情况进行核查；</w:t>
            </w:r>
          </w:p>
          <w:p>
            <w:pPr>
              <w:tabs>
                <w:tab w:val="left" w:pos="7937"/>
              </w:tabs>
              <w:spacing w:line="260" w:lineRule="exact"/>
              <w:rPr>
                <w:rFonts w:ascii="宋体" w:hAnsi="宋体" w:eastAsia="宋体"/>
                <w:sz w:val="18"/>
                <w:szCs w:val="18"/>
              </w:rPr>
            </w:pPr>
          </w:p>
        </w:tc>
        <w:tc>
          <w:tcPr>
            <w:tcW w:w="3050" w:type="dxa"/>
            <w:vAlign w:val="center"/>
          </w:tcPr>
          <w:p>
            <w:pPr>
              <w:tabs>
                <w:tab w:val="left" w:pos="7937"/>
              </w:tabs>
              <w:spacing w:line="260" w:lineRule="exact"/>
              <w:rPr>
                <w:rFonts w:ascii="宋体" w:hAnsi="宋体" w:eastAsia="宋体"/>
                <w:sz w:val="18"/>
                <w:szCs w:val="18"/>
              </w:rPr>
            </w:pPr>
            <w:r>
              <w:rPr>
                <w:rFonts w:hint="eastAsia" w:ascii="宋体" w:hAnsi="宋体" w:eastAsia="宋体"/>
                <w:sz w:val="18"/>
                <w:szCs w:val="18"/>
              </w:rPr>
              <w:t xml:space="preserve"> 商务、价格等主管部门工作人员在监督管理工作中滥用职权、徇私舞弊的，对直接负责的主管人员和其他直接责任人员依法给予行政处分；构成犯罪的，依法追究刑事责任。</w:t>
            </w:r>
          </w:p>
          <w:p>
            <w:pPr>
              <w:tabs>
                <w:tab w:val="left" w:pos="7937"/>
              </w:tabs>
              <w:spacing w:line="260" w:lineRule="exact"/>
              <w:rPr>
                <w:rFonts w:ascii="宋体" w:hAnsi="宋体" w:eastAsia="宋体"/>
                <w:sz w:val="18"/>
                <w:szCs w:val="18"/>
              </w:rPr>
            </w:pPr>
          </w:p>
        </w:tc>
        <w:tc>
          <w:tcPr>
            <w:tcW w:w="1375" w:type="dxa"/>
            <w:vAlign w:val="center"/>
          </w:tcPr>
          <w:p>
            <w:pPr>
              <w:tabs>
                <w:tab w:val="left" w:pos="7937"/>
              </w:tabs>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690" w:type="dxa"/>
            <w:vAlign w:val="center"/>
          </w:tcPr>
          <w:p>
            <w:pPr>
              <w:tabs>
                <w:tab w:val="left" w:pos="7937"/>
              </w:tabs>
              <w:spacing w:line="240" w:lineRule="exact"/>
              <w:jc w:val="center"/>
              <w:rPr>
                <w:rFonts w:ascii="宋体" w:hAnsi="宋体" w:eastAsia="宋体"/>
                <w:sz w:val="18"/>
              </w:rPr>
            </w:pPr>
            <w:r>
              <w:rPr>
                <w:rFonts w:hint="eastAsia" w:ascii="宋体" w:hAnsi="宋体" w:eastAsia="宋体"/>
                <w:sz w:val="18"/>
              </w:rPr>
              <w:t>32</w:t>
            </w:r>
          </w:p>
        </w:tc>
        <w:tc>
          <w:tcPr>
            <w:tcW w:w="1247" w:type="dxa"/>
            <w:vAlign w:val="center"/>
          </w:tcPr>
          <w:p>
            <w:pPr>
              <w:tabs>
                <w:tab w:val="left" w:pos="7937"/>
              </w:tabs>
              <w:spacing w:line="240" w:lineRule="exact"/>
              <w:jc w:val="center"/>
              <w:rPr>
                <w:rFonts w:ascii="宋体" w:hAnsi="宋体" w:eastAsia="宋体"/>
                <w:sz w:val="18"/>
              </w:rPr>
            </w:pPr>
            <w:r>
              <w:rPr>
                <w:rFonts w:hint="eastAsia" w:ascii="宋体" w:hAnsi="宋体" w:eastAsia="宋体"/>
                <w:sz w:val="18"/>
              </w:rPr>
              <w:t>行政检查</w:t>
            </w:r>
          </w:p>
        </w:tc>
        <w:tc>
          <w:tcPr>
            <w:tcW w:w="1247" w:type="dxa"/>
            <w:vAlign w:val="center"/>
          </w:tcPr>
          <w:p>
            <w:pPr>
              <w:tabs>
                <w:tab w:val="left" w:pos="7937"/>
              </w:tabs>
              <w:spacing w:line="240" w:lineRule="exact"/>
              <w:rPr>
                <w:rFonts w:ascii="宋体" w:hAnsi="宋体" w:eastAsia="宋体"/>
                <w:sz w:val="18"/>
                <w:szCs w:val="18"/>
              </w:rPr>
            </w:pPr>
            <w:r>
              <w:rPr>
                <w:rFonts w:hint="eastAsia" w:ascii="宋体" w:hAnsi="宋体" w:eastAsia="宋体"/>
                <w:color w:val="000000"/>
                <w:sz w:val="18"/>
                <w:szCs w:val="18"/>
              </w:rPr>
              <w:t>对汽车销售及其相关服务活动实施日常监督检查</w:t>
            </w:r>
          </w:p>
        </w:tc>
        <w:tc>
          <w:tcPr>
            <w:tcW w:w="1247" w:type="dxa"/>
            <w:vAlign w:val="center"/>
          </w:tcPr>
          <w:p>
            <w:pPr>
              <w:tabs>
                <w:tab w:val="left" w:pos="7937"/>
              </w:tabs>
              <w:spacing w:line="240" w:lineRule="exact"/>
              <w:jc w:val="center"/>
              <w:rPr>
                <w:rFonts w:ascii="宋体" w:hAnsi="宋体" w:eastAsia="宋体"/>
                <w:sz w:val="18"/>
              </w:rPr>
            </w:pPr>
            <w:r>
              <w:rPr>
                <w:rFonts w:ascii="宋体" w:hAnsi="宋体" w:eastAsia="宋体"/>
                <w:sz w:val="18"/>
                <w:szCs w:val="18"/>
              </w:rPr>
              <w:t>玉田县商务和投资促进局</w:t>
            </w:r>
          </w:p>
        </w:tc>
        <w:tc>
          <w:tcPr>
            <w:tcW w:w="2075" w:type="dxa"/>
            <w:vAlign w:val="center"/>
          </w:tcPr>
          <w:p>
            <w:pPr>
              <w:spacing w:line="240" w:lineRule="exact"/>
              <w:rPr>
                <w:rFonts w:ascii="宋体" w:hAnsi="宋体" w:eastAsia="宋体" w:cs="宋体"/>
                <w:color w:val="000000"/>
                <w:sz w:val="18"/>
                <w:szCs w:val="18"/>
                <w:shd w:val="clear" w:color="auto" w:fill="FFFFFF"/>
              </w:rPr>
            </w:pPr>
            <w:r>
              <w:rPr>
                <w:rFonts w:hint="eastAsia" w:ascii="宋体" w:hAnsi="宋体" w:eastAsia="宋体"/>
                <w:sz w:val="18"/>
              </w:rPr>
              <w:t>中华人民共和国商务部令2017年第1号《汽车销售管理办法》</w:t>
            </w:r>
            <w:r>
              <w:rPr>
                <w:rFonts w:hint="eastAsia" w:ascii="宋体" w:hAnsi="宋体" w:eastAsia="宋体" w:cs="宋体"/>
                <w:color w:val="333333"/>
                <w:sz w:val="18"/>
                <w:szCs w:val="18"/>
                <w:shd w:val="clear" w:color="auto" w:fill="FFFFFF"/>
              </w:rPr>
              <w:t>第二十九条：</w:t>
            </w:r>
            <w:r>
              <w:rPr>
                <w:rFonts w:hint="eastAsia" w:ascii="宋体" w:hAnsi="宋体" w:eastAsia="宋体" w:cs="宋体"/>
                <w:color w:val="000000"/>
                <w:sz w:val="18"/>
                <w:szCs w:val="18"/>
                <w:shd w:val="clear" w:color="auto" w:fill="FFFFFF"/>
              </w:rPr>
              <w:t>县级以上地方商务主管部门应当依据职责，采取“双随机”办法对汽车销售及其相关服务活动实施日常监督检查。</w:t>
            </w:r>
          </w:p>
          <w:p>
            <w:pPr>
              <w:tabs>
                <w:tab w:val="left" w:pos="7937"/>
              </w:tabs>
              <w:spacing w:line="240" w:lineRule="exact"/>
              <w:jc w:val="left"/>
              <w:rPr>
                <w:rFonts w:ascii="宋体" w:hAnsi="宋体" w:eastAsia="宋体"/>
                <w:sz w:val="18"/>
              </w:rPr>
            </w:pPr>
          </w:p>
        </w:tc>
        <w:tc>
          <w:tcPr>
            <w:tcW w:w="2921" w:type="dxa"/>
            <w:vAlign w:val="center"/>
          </w:tcPr>
          <w:p>
            <w:pPr>
              <w:spacing w:line="240" w:lineRule="exact"/>
              <w:rPr>
                <w:rFonts w:ascii="宋体" w:hAnsi="宋体" w:eastAsia="宋体"/>
                <w:sz w:val="18"/>
              </w:rPr>
            </w:pPr>
            <w:r>
              <w:rPr>
                <w:rFonts w:hint="eastAsia" w:ascii="宋体" w:hAnsi="宋体" w:eastAsia="宋体"/>
                <w:sz w:val="18"/>
              </w:rPr>
              <w:t>检查责任：对辖区内</w:t>
            </w:r>
            <w:r>
              <w:rPr>
                <w:rFonts w:hint="eastAsia" w:ascii="宋体" w:hAnsi="宋体" w:eastAsia="宋体" w:cs="宋体"/>
                <w:color w:val="000000"/>
                <w:sz w:val="18"/>
                <w:szCs w:val="18"/>
                <w:shd w:val="clear" w:color="auto" w:fill="FFFFFF"/>
              </w:rPr>
              <w:t>汽车销售及其相关服务活动进行检查</w:t>
            </w:r>
            <w:r>
              <w:rPr>
                <w:rFonts w:hint="eastAsia" w:ascii="宋体" w:hAnsi="宋体" w:eastAsia="宋体"/>
                <w:sz w:val="18"/>
              </w:rPr>
              <w:t>；</w:t>
            </w:r>
          </w:p>
          <w:p>
            <w:pPr>
              <w:spacing w:line="240" w:lineRule="exact"/>
              <w:rPr>
                <w:rFonts w:ascii="宋体" w:hAnsi="宋体" w:eastAsia="宋体"/>
                <w:sz w:val="18"/>
              </w:rPr>
            </w:pPr>
            <w:r>
              <w:rPr>
                <w:rFonts w:ascii="宋体" w:hAnsi="宋体" w:eastAsia="宋体"/>
                <w:sz w:val="18"/>
              </w:rPr>
              <w:t>2.</w:t>
            </w:r>
            <w:r>
              <w:rPr>
                <w:rFonts w:hint="eastAsia" w:ascii="宋体" w:hAnsi="宋体" w:eastAsia="宋体"/>
                <w:sz w:val="18"/>
              </w:rPr>
              <w:t>处置责任：对监督检查发现的问题，责令限期改正、依法实施处罚；</w:t>
            </w:r>
          </w:p>
          <w:p>
            <w:pPr>
              <w:spacing w:line="240" w:lineRule="exact"/>
              <w:rPr>
                <w:rFonts w:ascii="宋体" w:hAnsi="宋体" w:eastAsia="宋体"/>
                <w:sz w:val="18"/>
              </w:rPr>
            </w:pPr>
            <w:r>
              <w:rPr>
                <w:rFonts w:hint="eastAsia" w:ascii="宋体" w:hAnsi="宋体" w:eastAsia="宋体"/>
                <w:sz w:val="18"/>
              </w:rPr>
              <w:t>3</w:t>
            </w:r>
            <w:r>
              <w:rPr>
                <w:rFonts w:ascii="宋体" w:hAnsi="宋体" w:eastAsia="宋体"/>
                <w:sz w:val="18"/>
              </w:rPr>
              <w:t>.</w:t>
            </w:r>
            <w:r>
              <w:rPr>
                <w:rFonts w:hint="eastAsia" w:ascii="宋体" w:hAnsi="宋体" w:eastAsia="宋体"/>
                <w:sz w:val="18"/>
              </w:rPr>
              <w:t>事后管理责任：对监督检查发现的问题，企业整改完成后，对整改情况进行核查；</w:t>
            </w:r>
          </w:p>
          <w:p>
            <w:pPr>
              <w:spacing w:line="240" w:lineRule="exact"/>
              <w:rPr>
                <w:rFonts w:ascii="宋体" w:hAnsi="宋体" w:eastAsia="宋体"/>
                <w:sz w:val="18"/>
              </w:rPr>
            </w:pPr>
          </w:p>
        </w:tc>
        <w:tc>
          <w:tcPr>
            <w:tcW w:w="3050" w:type="dxa"/>
            <w:vAlign w:val="center"/>
          </w:tcPr>
          <w:p>
            <w:pPr>
              <w:tabs>
                <w:tab w:val="left" w:pos="7937"/>
              </w:tabs>
              <w:spacing w:line="260" w:lineRule="exact"/>
              <w:rPr>
                <w:rFonts w:ascii="宋体" w:hAnsi="宋体" w:eastAsia="宋体"/>
                <w:spacing w:val="-4"/>
                <w:sz w:val="18"/>
                <w:szCs w:val="18"/>
              </w:rPr>
            </w:pPr>
            <w:r>
              <w:rPr>
                <w:rFonts w:hint="eastAsia" w:ascii="宋体" w:hAnsi="宋体" w:eastAsia="宋体"/>
                <w:sz w:val="18"/>
                <w:szCs w:val="18"/>
              </w:rPr>
              <w:t>因不履行或不正确履行行政职责，有下列情形的，行政机关及相关工作人员应承担相应责任：</w:t>
            </w:r>
          </w:p>
          <w:p>
            <w:pPr>
              <w:spacing w:line="240" w:lineRule="exact"/>
              <w:rPr>
                <w:rFonts w:ascii="宋体" w:hAnsi="宋体" w:eastAsia="宋体"/>
                <w:spacing w:val="-4"/>
                <w:sz w:val="18"/>
                <w:szCs w:val="18"/>
              </w:rPr>
            </w:pPr>
            <w:r>
              <w:rPr>
                <w:rFonts w:hint="eastAsia" w:ascii="宋体" w:hAnsi="宋体" w:eastAsia="宋体"/>
                <w:spacing w:val="-4"/>
                <w:sz w:val="18"/>
                <w:szCs w:val="18"/>
              </w:rPr>
              <w:t>1</w:t>
            </w:r>
            <w:r>
              <w:rPr>
                <w:rFonts w:ascii="宋体" w:hAnsi="宋体" w:eastAsia="宋体"/>
                <w:spacing w:val="-4"/>
                <w:sz w:val="18"/>
                <w:szCs w:val="18"/>
              </w:rPr>
              <w:t>.</w:t>
            </w:r>
            <w:r>
              <w:rPr>
                <w:rFonts w:hint="eastAsia" w:ascii="宋体" w:hAnsi="宋体" w:eastAsia="宋体"/>
                <w:spacing w:val="-4"/>
                <w:sz w:val="18"/>
                <w:szCs w:val="18"/>
              </w:rPr>
              <w:t>对在检查中发现的问题，不责令限期改正、不依法实施处罚；</w:t>
            </w:r>
          </w:p>
          <w:p>
            <w:pPr>
              <w:spacing w:line="240" w:lineRule="exact"/>
              <w:rPr>
                <w:rFonts w:ascii="宋体" w:hAnsi="宋体" w:eastAsia="宋体"/>
                <w:spacing w:val="-4"/>
                <w:sz w:val="18"/>
                <w:szCs w:val="18"/>
              </w:rPr>
            </w:pPr>
            <w:r>
              <w:rPr>
                <w:rFonts w:hint="eastAsia" w:ascii="宋体" w:hAnsi="宋体" w:eastAsia="宋体"/>
                <w:spacing w:val="-4"/>
                <w:sz w:val="18"/>
                <w:szCs w:val="18"/>
              </w:rPr>
              <w:t>2</w:t>
            </w:r>
            <w:r>
              <w:rPr>
                <w:rFonts w:ascii="宋体" w:hAnsi="宋体" w:eastAsia="宋体"/>
                <w:spacing w:val="-4"/>
                <w:sz w:val="18"/>
                <w:szCs w:val="18"/>
              </w:rPr>
              <w:t>.</w:t>
            </w:r>
            <w:r>
              <w:rPr>
                <w:rFonts w:hint="eastAsia" w:ascii="宋体" w:hAnsi="宋体" w:eastAsia="宋体"/>
                <w:spacing w:val="-4"/>
                <w:sz w:val="18"/>
                <w:szCs w:val="18"/>
              </w:rPr>
              <w:t>对监督检查发现的问题，企业整改完成后，不对整改情况进行核查；</w:t>
            </w:r>
          </w:p>
          <w:p>
            <w:pPr>
              <w:spacing w:line="240" w:lineRule="exact"/>
              <w:rPr>
                <w:rFonts w:ascii="宋体" w:hAnsi="宋体" w:eastAsia="宋体"/>
                <w:sz w:val="18"/>
              </w:rPr>
            </w:pPr>
            <w:r>
              <w:rPr>
                <w:rFonts w:hint="eastAsia" w:ascii="宋体" w:hAnsi="宋体" w:eastAsia="宋体"/>
                <w:spacing w:val="-4"/>
                <w:sz w:val="18"/>
                <w:szCs w:val="18"/>
              </w:rPr>
              <w:t>3</w:t>
            </w:r>
            <w:r>
              <w:rPr>
                <w:rFonts w:ascii="宋体" w:hAnsi="宋体" w:eastAsia="宋体"/>
                <w:spacing w:val="-4"/>
                <w:sz w:val="18"/>
                <w:szCs w:val="18"/>
              </w:rPr>
              <w:t>.</w:t>
            </w:r>
            <w:r>
              <w:rPr>
                <w:rFonts w:hint="eastAsia" w:ascii="宋体" w:hAnsi="宋体" w:eastAsia="宋体"/>
                <w:spacing w:val="-4"/>
                <w:sz w:val="18"/>
                <w:szCs w:val="18"/>
              </w:rPr>
              <w:t>其他违反法律法规规章文件规定的行为。</w:t>
            </w:r>
          </w:p>
        </w:tc>
        <w:tc>
          <w:tcPr>
            <w:tcW w:w="1375" w:type="dxa"/>
            <w:vAlign w:val="center"/>
          </w:tcPr>
          <w:p>
            <w:pPr>
              <w:spacing w:line="400" w:lineRule="exact"/>
              <w:jc w:val="center"/>
              <w:rPr>
                <w:rFonts w:ascii="宋体" w:hAnsi="宋体"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trPr>
        <w:tc>
          <w:tcPr>
            <w:tcW w:w="690" w:type="dxa"/>
            <w:vAlign w:val="center"/>
          </w:tcPr>
          <w:p>
            <w:pPr>
              <w:tabs>
                <w:tab w:val="left" w:pos="7937"/>
              </w:tabs>
              <w:spacing w:line="240" w:lineRule="exact"/>
              <w:jc w:val="center"/>
              <w:rPr>
                <w:rFonts w:ascii="宋体" w:hAnsi="宋体" w:eastAsia="宋体"/>
                <w:sz w:val="18"/>
              </w:rPr>
            </w:pPr>
            <w:r>
              <w:rPr>
                <w:rFonts w:hint="eastAsia" w:ascii="宋体" w:hAnsi="宋体" w:eastAsia="宋体"/>
                <w:sz w:val="18"/>
              </w:rPr>
              <w:t>33</w:t>
            </w:r>
          </w:p>
        </w:tc>
        <w:tc>
          <w:tcPr>
            <w:tcW w:w="1247" w:type="dxa"/>
            <w:vAlign w:val="center"/>
          </w:tcPr>
          <w:p>
            <w:pPr>
              <w:tabs>
                <w:tab w:val="left" w:pos="7937"/>
              </w:tabs>
              <w:spacing w:line="240" w:lineRule="exact"/>
              <w:jc w:val="center"/>
              <w:rPr>
                <w:rFonts w:ascii="宋体" w:hAnsi="宋体" w:eastAsia="宋体"/>
                <w:sz w:val="18"/>
              </w:rPr>
            </w:pPr>
            <w:r>
              <w:rPr>
                <w:rFonts w:hint="eastAsia" w:ascii="宋体" w:hAnsi="宋体" w:eastAsia="宋体"/>
                <w:sz w:val="18"/>
              </w:rPr>
              <w:t>行政检查</w:t>
            </w:r>
          </w:p>
        </w:tc>
        <w:tc>
          <w:tcPr>
            <w:tcW w:w="1247" w:type="dxa"/>
            <w:vAlign w:val="center"/>
          </w:tcPr>
          <w:p>
            <w:pPr>
              <w:tabs>
                <w:tab w:val="left" w:pos="7937"/>
              </w:tabs>
              <w:spacing w:line="240" w:lineRule="exact"/>
              <w:rPr>
                <w:rFonts w:ascii="宋体" w:hAnsi="宋体" w:eastAsia="宋体"/>
                <w:sz w:val="18"/>
              </w:rPr>
            </w:pPr>
            <w:r>
              <w:rPr>
                <w:rFonts w:hint="eastAsia" w:ascii="宋体" w:hAnsi="宋体" w:eastAsia="宋体"/>
                <w:sz w:val="18"/>
              </w:rPr>
              <w:t>对发卡企业进行的行政检查</w:t>
            </w:r>
          </w:p>
        </w:tc>
        <w:tc>
          <w:tcPr>
            <w:tcW w:w="1247" w:type="dxa"/>
            <w:vAlign w:val="center"/>
          </w:tcPr>
          <w:p>
            <w:pPr>
              <w:tabs>
                <w:tab w:val="left" w:pos="7937"/>
              </w:tabs>
              <w:spacing w:line="240" w:lineRule="exact"/>
              <w:jc w:val="center"/>
              <w:rPr>
                <w:rFonts w:ascii="宋体" w:hAnsi="宋体" w:eastAsia="宋体"/>
                <w:sz w:val="18"/>
              </w:rPr>
            </w:pPr>
            <w:r>
              <w:rPr>
                <w:rFonts w:ascii="宋体" w:hAnsi="宋体" w:eastAsia="宋体"/>
                <w:sz w:val="18"/>
                <w:szCs w:val="18"/>
              </w:rPr>
              <w:t>玉田县商务和投资促进局</w:t>
            </w:r>
          </w:p>
        </w:tc>
        <w:tc>
          <w:tcPr>
            <w:tcW w:w="2075" w:type="dxa"/>
            <w:vAlign w:val="center"/>
          </w:tcPr>
          <w:p>
            <w:pPr>
              <w:tabs>
                <w:tab w:val="left" w:pos="7937"/>
              </w:tabs>
              <w:spacing w:line="240" w:lineRule="exact"/>
              <w:jc w:val="left"/>
              <w:rPr>
                <w:rFonts w:ascii="宋体" w:hAnsi="宋体" w:eastAsia="宋体"/>
                <w:sz w:val="18"/>
              </w:rPr>
            </w:pPr>
            <w:r>
              <w:rPr>
                <w:rFonts w:hint="eastAsia" w:ascii="宋体" w:hAnsi="宋体" w:eastAsia="宋体"/>
                <w:sz w:val="18"/>
              </w:rPr>
              <w:t>《单用途商业预付卡管理办法（试行）》第三十三条 ：商务部和地方人民政府商务主管部门应对发卡企业和售卡企业的单用途卡业务活动、内部控制和风险状况等进行定期或不定期的现场及非现场检查。发卡企业和售卡企业应配合商务主管部门的检查。</w:t>
            </w:r>
          </w:p>
        </w:tc>
        <w:tc>
          <w:tcPr>
            <w:tcW w:w="2921" w:type="dxa"/>
            <w:vAlign w:val="center"/>
          </w:tcPr>
          <w:p>
            <w:pPr>
              <w:spacing w:line="240" w:lineRule="exact"/>
              <w:rPr>
                <w:rFonts w:ascii="宋体" w:hAnsi="宋体" w:eastAsia="宋体"/>
                <w:sz w:val="18"/>
              </w:rPr>
            </w:pPr>
            <w:r>
              <w:rPr>
                <w:rFonts w:ascii="宋体" w:hAnsi="宋体" w:eastAsia="宋体"/>
                <w:sz w:val="18"/>
              </w:rPr>
              <w:t>1.</w:t>
            </w:r>
            <w:r>
              <w:rPr>
                <w:rFonts w:hint="eastAsia" w:ascii="宋体" w:hAnsi="宋体" w:eastAsia="宋体"/>
                <w:sz w:val="18"/>
              </w:rPr>
              <w:t>检查责任：对辖区内发卡企业和售卡企业的单用途卡业务活动、内部控制和风险状况等进行现场及非现场检查；</w:t>
            </w:r>
          </w:p>
          <w:p>
            <w:pPr>
              <w:spacing w:line="240" w:lineRule="exact"/>
              <w:rPr>
                <w:rFonts w:ascii="宋体" w:hAnsi="宋体" w:eastAsia="宋体"/>
                <w:sz w:val="18"/>
              </w:rPr>
            </w:pPr>
            <w:r>
              <w:rPr>
                <w:rFonts w:ascii="宋体" w:hAnsi="宋体" w:eastAsia="宋体"/>
                <w:sz w:val="18"/>
              </w:rPr>
              <w:t>2.</w:t>
            </w:r>
            <w:r>
              <w:rPr>
                <w:rFonts w:hint="eastAsia" w:ascii="宋体" w:hAnsi="宋体" w:eastAsia="宋体"/>
                <w:sz w:val="18"/>
              </w:rPr>
              <w:t>处置责任：对监督检查发现的问题，责令限期改正、依法实施处罚；</w:t>
            </w:r>
          </w:p>
          <w:p>
            <w:pPr>
              <w:spacing w:line="240" w:lineRule="exact"/>
              <w:rPr>
                <w:rFonts w:ascii="宋体" w:hAnsi="宋体" w:eastAsia="宋体"/>
                <w:sz w:val="18"/>
              </w:rPr>
            </w:pPr>
            <w:r>
              <w:rPr>
                <w:rFonts w:hint="eastAsia" w:ascii="宋体" w:hAnsi="宋体" w:eastAsia="宋体"/>
                <w:sz w:val="18"/>
              </w:rPr>
              <w:t>3</w:t>
            </w:r>
            <w:r>
              <w:rPr>
                <w:rFonts w:ascii="宋体" w:hAnsi="宋体" w:eastAsia="宋体"/>
                <w:sz w:val="18"/>
              </w:rPr>
              <w:t>.</w:t>
            </w:r>
            <w:r>
              <w:rPr>
                <w:rFonts w:hint="eastAsia" w:ascii="宋体" w:hAnsi="宋体" w:eastAsia="宋体"/>
                <w:sz w:val="18"/>
              </w:rPr>
              <w:t>事后管理责任：对监督检查发现的问题，企业整改完成后，对整改情况进行核查；</w:t>
            </w:r>
          </w:p>
          <w:p>
            <w:pPr>
              <w:spacing w:line="240" w:lineRule="exact"/>
              <w:rPr>
                <w:rFonts w:ascii="宋体" w:hAnsi="宋体" w:eastAsia="宋体"/>
                <w:sz w:val="18"/>
              </w:rPr>
            </w:pPr>
          </w:p>
        </w:tc>
        <w:tc>
          <w:tcPr>
            <w:tcW w:w="3050" w:type="dxa"/>
            <w:vAlign w:val="center"/>
          </w:tcPr>
          <w:p>
            <w:pPr>
              <w:tabs>
                <w:tab w:val="left" w:pos="7937"/>
              </w:tabs>
              <w:spacing w:line="260" w:lineRule="exact"/>
              <w:rPr>
                <w:rFonts w:ascii="宋体" w:hAnsi="宋体" w:eastAsia="宋体"/>
                <w:sz w:val="18"/>
                <w:szCs w:val="18"/>
              </w:rPr>
            </w:pPr>
            <w:r>
              <w:rPr>
                <w:rFonts w:ascii="宋体" w:hAnsi="宋体" w:eastAsia="宋体"/>
                <w:sz w:val="18"/>
              </w:rPr>
              <w:br w:type="textWrapping"/>
            </w:r>
            <w:r>
              <w:rPr>
                <w:rFonts w:hint="eastAsia" w:ascii="宋体" w:hAnsi="宋体" w:eastAsia="宋体"/>
                <w:sz w:val="18"/>
                <w:szCs w:val="18"/>
              </w:rPr>
              <w:t>因不履行或不正确履行行政职责，有下列情形的，行政机关及相关工作人员应承担相应责任：</w:t>
            </w:r>
          </w:p>
          <w:p>
            <w:pPr>
              <w:spacing w:line="240" w:lineRule="exact"/>
              <w:rPr>
                <w:rFonts w:ascii="宋体" w:hAnsi="宋体" w:eastAsia="宋体"/>
                <w:spacing w:val="-4"/>
                <w:sz w:val="18"/>
                <w:szCs w:val="18"/>
              </w:rPr>
            </w:pPr>
            <w:r>
              <w:rPr>
                <w:rFonts w:hint="eastAsia" w:ascii="宋体" w:hAnsi="宋体" w:eastAsia="宋体"/>
                <w:spacing w:val="-4"/>
                <w:sz w:val="18"/>
                <w:szCs w:val="18"/>
              </w:rPr>
              <w:t>1</w:t>
            </w:r>
            <w:r>
              <w:rPr>
                <w:rFonts w:ascii="宋体" w:hAnsi="宋体" w:eastAsia="宋体"/>
                <w:spacing w:val="-4"/>
                <w:sz w:val="18"/>
                <w:szCs w:val="18"/>
              </w:rPr>
              <w:t>.</w:t>
            </w:r>
            <w:r>
              <w:rPr>
                <w:rFonts w:hint="eastAsia" w:ascii="宋体" w:hAnsi="宋体" w:eastAsia="宋体"/>
                <w:spacing w:val="-4"/>
                <w:sz w:val="18"/>
                <w:szCs w:val="18"/>
              </w:rPr>
              <w:t>对在检查中发现的问题，不责令限期改正、不依法实施处罚；</w:t>
            </w:r>
          </w:p>
          <w:p>
            <w:pPr>
              <w:spacing w:line="240" w:lineRule="exact"/>
              <w:rPr>
                <w:rFonts w:ascii="宋体" w:hAnsi="宋体" w:eastAsia="宋体"/>
                <w:spacing w:val="-4"/>
                <w:sz w:val="18"/>
                <w:szCs w:val="18"/>
              </w:rPr>
            </w:pPr>
            <w:r>
              <w:rPr>
                <w:rFonts w:hint="eastAsia" w:ascii="宋体" w:hAnsi="宋体" w:eastAsia="宋体"/>
                <w:spacing w:val="-4"/>
                <w:sz w:val="18"/>
                <w:szCs w:val="18"/>
              </w:rPr>
              <w:t>2</w:t>
            </w:r>
            <w:r>
              <w:rPr>
                <w:rFonts w:ascii="宋体" w:hAnsi="宋体" w:eastAsia="宋体"/>
                <w:spacing w:val="-4"/>
                <w:sz w:val="18"/>
                <w:szCs w:val="18"/>
              </w:rPr>
              <w:t>.</w:t>
            </w:r>
            <w:r>
              <w:rPr>
                <w:rFonts w:hint="eastAsia" w:ascii="宋体" w:hAnsi="宋体" w:eastAsia="宋体"/>
                <w:spacing w:val="-4"/>
                <w:sz w:val="18"/>
                <w:szCs w:val="18"/>
              </w:rPr>
              <w:t>对监督检查发现的问题，企业整改完成后，不对整改情况进行核查；</w:t>
            </w:r>
          </w:p>
          <w:p>
            <w:pPr>
              <w:spacing w:line="240" w:lineRule="exact"/>
              <w:rPr>
                <w:rFonts w:ascii="宋体" w:hAnsi="宋体" w:eastAsia="宋体"/>
                <w:sz w:val="18"/>
              </w:rPr>
            </w:pPr>
            <w:r>
              <w:rPr>
                <w:rFonts w:hint="eastAsia" w:ascii="宋体" w:hAnsi="宋体" w:eastAsia="宋体"/>
                <w:spacing w:val="-4"/>
                <w:sz w:val="18"/>
                <w:szCs w:val="18"/>
              </w:rPr>
              <w:t>3</w:t>
            </w:r>
            <w:r>
              <w:rPr>
                <w:rFonts w:ascii="宋体" w:hAnsi="宋体" w:eastAsia="宋体"/>
                <w:spacing w:val="-4"/>
                <w:sz w:val="18"/>
                <w:szCs w:val="18"/>
              </w:rPr>
              <w:t>.</w:t>
            </w:r>
            <w:r>
              <w:rPr>
                <w:rFonts w:hint="eastAsia" w:ascii="宋体" w:hAnsi="宋体" w:eastAsia="宋体"/>
                <w:spacing w:val="-4"/>
                <w:sz w:val="18"/>
                <w:szCs w:val="18"/>
              </w:rPr>
              <w:t>其他违反法律法规规章文件规定的行为。</w:t>
            </w:r>
          </w:p>
        </w:tc>
        <w:tc>
          <w:tcPr>
            <w:tcW w:w="1375" w:type="dxa"/>
            <w:vAlign w:val="center"/>
          </w:tcPr>
          <w:p>
            <w:pPr>
              <w:spacing w:line="400" w:lineRule="exact"/>
              <w:jc w:val="center"/>
              <w:rPr>
                <w:rFonts w:ascii="宋体" w:hAnsi="宋体"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vAlign w:val="center"/>
          </w:tcPr>
          <w:p>
            <w:pPr>
              <w:tabs>
                <w:tab w:val="left" w:pos="7937"/>
              </w:tabs>
              <w:spacing w:line="240" w:lineRule="exact"/>
              <w:jc w:val="center"/>
              <w:rPr>
                <w:rFonts w:ascii="宋体" w:hAnsi="宋体" w:eastAsia="宋体"/>
                <w:sz w:val="18"/>
              </w:rPr>
            </w:pPr>
            <w:r>
              <w:rPr>
                <w:rFonts w:hint="eastAsia" w:ascii="宋体" w:hAnsi="宋体" w:eastAsia="宋体"/>
                <w:sz w:val="18"/>
              </w:rPr>
              <w:t>34</w:t>
            </w:r>
          </w:p>
        </w:tc>
        <w:tc>
          <w:tcPr>
            <w:tcW w:w="1247" w:type="dxa"/>
            <w:vAlign w:val="center"/>
          </w:tcPr>
          <w:p>
            <w:pPr>
              <w:tabs>
                <w:tab w:val="left" w:pos="7937"/>
              </w:tabs>
              <w:spacing w:line="240" w:lineRule="exact"/>
              <w:jc w:val="center"/>
              <w:rPr>
                <w:rFonts w:ascii="宋体" w:hAnsi="宋体" w:eastAsia="宋体"/>
                <w:sz w:val="18"/>
              </w:rPr>
            </w:pPr>
            <w:r>
              <w:rPr>
                <w:rFonts w:hint="eastAsia" w:ascii="宋体" w:hAnsi="宋体" w:eastAsia="宋体"/>
                <w:sz w:val="18"/>
              </w:rPr>
              <w:t>行政检查</w:t>
            </w:r>
          </w:p>
        </w:tc>
        <w:tc>
          <w:tcPr>
            <w:tcW w:w="1247" w:type="dxa"/>
            <w:vAlign w:val="center"/>
          </w:tcPr>
          <w:p>
            <w:pPr>
              <w:tabs>
                <w:tab w:val="left" w:pos="7937"/>
              </w:tabs>
              <w:spacing w:line="240" w:lineRule="exact"/>
              <w:rPr>
                <w:rFonts w:ascii="宋体" w:hAnsi="宋体" w:eastAsia="宋体"/>
                <w:sz w:val="18"/>
              </w:rPr>
            </w:pPr>
            <w:r>
              <w:rPr>
                <w:rFonts w:hint="eastAsia" w:ascii="宋体" w:hAnsi="宋体" w:eastAsia="宋体"/>
                <w:sz w:val="18"/>
              </w:rPr>
              <w:t>对报废机动车回收拆解企业的检查</w:t>
            </w:r>
          </w:p>
        </w:tc>
        <w:tc>
          <w:tcPr>
            <w:tcW w:w="1247" w:type="dxa"/>
            <w:vAlign w:val="center"/>
          </w:tcPr>
          <w:p>
            <w:pPr>
              <w:tabs>
                <w:tab w:val="left" w:pos="7937"/>
              </w:tabs>
              <w:spacing w:line="240" w:lineRule="exact"/>
              <w:jc w:val="center"/>
              <w:rPr>
                <w:rFonts w:ascii="宋体" w:hAnsi="宋体" w:eastAsia="宋体"/>
                <w:sz w:val="18"/>
                <w:szCs w:val="18"/>
              </w:rPr>
            </w:pPr>
            <w:r>
              <w:rPr>
                <w:rFonts w:ascii="宋体" w:hAnsi="宋体" w:eastAsia="宋体"/>
                <w:sz w:val="18"/>
                <w:szCs w:val="18"/>
              </w:rPr>
              <w:t>玉田县商务和投资促进局</w:t>
            </w:r>
          </w:p>
        </w:tc>
        <w:tc>
          <w:tcPr>
            <w:tcW w:w="2075" w:type="dxa"/>
            <w:vAlign w:val="center"/>
          </w:tcPr>
          <w:p>
            <w:pPr>
              <w:tabs>
                <w:tab w:val="left" w:pos="7937"/>
              </w:tabs>
              <w:spacing w:line="240" w:lineRule="exact"/>
              <w:jc w:val="left"/>
              <w:rPr>
                <w:rFonts w:ascii="宋体" w:hAnsi="宋体" w:eastAsia="宋体"/>
                <w:sz w:val="18"/>
              </w:rPr>
            </w:pPr>
            <w:r>
              <w:rPr>
                <w:rFonts w:hint="eastAsia" w:ascii="宋体" w:hAnsi="宋体" w:eastAsia="宋体"/>
                <w:sz w:val="18"/>
              </w:rPr>
              <w:t>国务院《报废机动车回收管理办法》</w:t>
            </w:r>
            <w:r>
              <w:rPr>
                <w:rFonts w:hint="eastAsia" w:ascii="宋体" w:hAnsi="宋体" w:eastAsia="宋体"/>
                <w:bCs/>
                <w:sz w:val="18"/>
                <w:szCs w:val="18"/>
              </w:rPr>
              <w:t>（国务院令第715号）第十六条：　县级以上地方人民政府负责报废机动车回收管理的部门应当加强对报废机动车回收企业的监督检查，建立和完善以随机抽查为重点的日常监督检查制度，公布抽查事项目录，明确抽查的依据、频次、方式、内容和程序，随机抽取被检查企业，随机选派检查人员。</w:t>
            </w:r>
          </w:p>
        </w:tc>
        <w:tc>
          <w:tcPr>
            <w:tcW w:w="2921" w:type="dxa"/>
            <w:vAlign w:val="center"/>
          </w:tcPr>
          <w:p>
            <w:pPr>
              <w:spacing w:line="240" w:lineRule="exact"/>
              <w:rPr>
                <w:rFonts w:ascii="宋体" w:hAnsi="宋体" w:eastAsia="宋体"/>
                <w:sz w:val="18"/>
              </w:rPr>
            </w:pPr>
            <w:r>
              <w:rPr>
                <w:rFonts w:hint="eastAsia" w:ascii="宋体" w:hAnsi="宋体" w:eastAsia="宋体"/>
                <w:sz w:val="18"/>
              </w:rPr>
              <w:t>1、检查责任：对辖区内报废机动车回收拆解企业</w:t>
            </w:r>
            <w:r>
              <w:rPr>
                <w:rFonts w:hint="eastAsia" w:ascii="宋体" w:hAnsi="宋体" w:eastAsia="宋体" w:cs="宋体"/>
                <w:color w:val="000000"/>
                <w:sz w:val="18"/>
                <w:szCs w:val="18"/>
                <w:shd w:val="clear" w:color="auto" w:fill="FFFFFF"/>
              </w:rPr>
              <w:t>进行监督检查</w:t>
            </w:r>
            <w:r>
              <w:rPr>
                <w:rFonts w:hint="eastAsia" w:ascii="宋体" w:hAnsi="宋体" w:eastAsia="宋体"/>
                <w:sz w:val="18"/>
              </w:rPr>
              <w:t>；</w:t>
            </w:r>
          </w:p>
          <w:p>
            <w:pPr>
              <w:spacing w:line="240" w:lineRule="exact"/>
              <w:rPr>
                <w:rFonts w:ascii="宋体" w:hAnsi="宋体" w:eastAsia="宋体"/>
                <w:sz w:val="18"/>
              </w:rPr>
            </w:pPr>
            <w:r>
              <w:rPr>
                <w:rFonts w:ascii="宋体" w:hAnsi="宋体" w:eastAsia="宋体"/>
                <w:sz w:val="18"/>
              </w:rPr>
              <w:t>2.</w:t>
            </w:r>
            <w:r>
              <w:rPr>
                <w:rFonts w:hint="eastAsia" w:ascii="宋体" w:hAnsi="宋体" w:eastAsia="宋体"/>
                <w:sz w:val="18"/>
              </w:rPr>
              <w:t>处置责任：对监督检查发现的问题，责令限期改正、依法实施处罚；</w:t>
            </w:r>
          </w:p>
          <w:p>
            <w:pPr>
              <w:spacing w:line="240" w:lineRule="exact"/>
              <w:rPr>
                <w:rFonts w:ascii="宋体" w:hAnsi="宋体" w:eastAsia="宋体"/>
                <w:sz w:val="18"/>
              </w:rPr>
            </w:pPr>
            <w:r>
              <w:rPr>
                <w:rFonts w:hint="eastAsia" w:ascii="宋体" w:hAnsi="宋体" w:eastAsia="宋体"/>
                <w:sz w:val="18"/>
              </w:rPr>
              <w:t>3</w:t>
            </w:r>
            <w:r>
              <w:rPr>
                <w:rFonts w:ascii="宋体" w:hAnsi="宋体" w:eastAsia="宋体"/>
                <w:sz w:val="18"/>
              </w:rPr>
              <w:t>.</w:t>
            </w:r>
            <w:r>
              <w:rPr>
                <w:rFonts w:hint="eastAsia" w:ascii="宋体" w:hAnsi="宋体" w:eastAsia="宋体"/>
                <w:sz w:val="18"/>
              </w:rPr>
              <w:t>事后管理责任：对监督检查发现的问题，企业整改完成后，对整改情况进行核查；</w:t>
            </w:r>
          </w:p>
          <w:p>
            <w:pPr>
              <w:spacing w:line="240" w:lineRule="exact"/>
              <w:rPr>
                <w:rFonts w:ascii="宋体" w:hAnsi="宋体" w:eastAsia="宋体"/>
                <w:sz w:val="18"/>
              </w:rPr>
            </w:pPr>
          </w:p>
        </w:tc>
        <w:tc>
          <w:tcPr>
            <w:tcW w:w="3050" w:type="dxa"/>
            <w:vAlign w:val="center"/>
          </w:tcPr>
          <w:p>
            <w:pPr>
              <w:tabs>
                <w:tab w:val="left" w:pos="7937"/>
              </w:tabs>
              <w:spacing w:line="260" w:lineRule="exac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spacing w:line="240" w:lineRule="exact"/>
              <w:rPr>
                <w:rFonts w:ascii="宋体" w:hAnsi="宋体" w:eastAsia="宋体"/>
                <w:spacing w:val="-4"/>
                <w:sz w:val="18"/>
                <w:szCs w:val="18"/>
              </w:rPr>
            </w:pPr>
            <w:r>
              <w:rPr>
                <w:rFonts w:hint="eastAsia" w:ascii="宋体" w:hAnsi="宋体" w:eastAsia="宋体"/>
                <w:spacing w:val="-4"/>
                <w:sz w:val="18"/>
                <w:szCs w:val="18"/>
              </w:rPr>
              <w:t>1</w:t>
            </w:r>
            <w:r>
              <w:rPr>
                <w:rFonts w:ascii="宋体" w:hAnsi="宋体" w:eastAsia="宋体"/>
                <w:spacing w:val="-4"/>
                <w:sz w:val="18"/>
                <w:szCs w:val="18"/>
              </w:rPr>
              <w:t>.</w:t>
            </w:r>
            <w:r>
              <w:rPr>
                <w:rFonts w:hint="eastAsia" w:ascii="宋体" w:hAnsi="宋体" w:eastAsia="宋体"/>
                <w:spacing w:val="-4"/>
                <w:sz w:val="18"/>
                <w:szCs w:val="18"/>
              </w:rPr>
              <w:t>对在检查中发现的问题，不责令限期改正、不依法实施处罚；</w:t>
            </w:r>
          </w:p>
          <w:p>
            <w:pPr>
              <w:spacing w:line="240" w:lineRule="exact"/>
              <w:rPr>
                <w:rFonts w:ascii="宋体" w:hAnsi="宋体" w:eastAsia="宋体"/>
                <w:spacing w:val="-4"/>
                <w:sz w:val="18"/>
                <w:szCs w:val="18"/>
              </w:rPr>
            </w:pPr>
            <w:r>
              <w:rPr>
                <w:rFonts w:hint="eastAsia" w:ascii="宋体" w:hAnsi="宋体" w:eastAsia="宋体"/>
                <w:spacing w:val="-4"/>
                <w:sz w:val="18"/>
                <w:szCs w:val="18"/>
              </w:rPr>
              <w:t>2</w:t>
            </w:r>
            <w:r>
              <w:rPr>
                <w:rFonts w:ascii="宋体" w:hAnsi="宋体" w:eastAsia="宋体"/>
                <w:spacing w:val="-4"/>
                <w:sz w:val="18"/>
                <w:szCs w:val="18"/>
              </w:rPr>
              <w:t>.</w:t>
            </w:r>
            <w:r>
              <w:rPr>
                <w:rFonts w:hint="eastAsia" w:ascii="宋体" w:hAnsi="宋体" w:eastAsia="宋体"/>
                <w:spacing w:val="-4"/>
                <w:sz w:val="18"/>
                <w:szCs w:val="18"/>
              </w:rPr>
              <w:t>对监督检查发现的问题，企业整改完成后，不对整改情况进行核查；</w:t>
            </w:r>
          </w:p>
          <w:p>
            <w:pPr>
              <w:spacing w:line="240" w:lineRule="exact"/>
              <w:rPr>
                <w:rFonts w:ascii="宋体" w:hAnsi="宋体" w:eastAsia="宋体"/>
                <w:sz w:val="18"/>
              </w:rPr>
            </w:pPr>
            <w:r>
              <w:rPr>
                <w:rFonts w:hint="eastAsia" w:ascii="宋体" w:hAnsi="宋体" w:eastAsia="宋体"/>
                <w:spacing w:val="-4"/>
                <w:sz w:val="18"/>
                <w:szCs w:val="18"/>
              </w:rPr>
              <w:t>3</w:t>
            </w:r>
            <w:r>
              <w:rPr>
                <w:rFonts w:ascii="宋体" w:hAnsi="宋体" w:eastAsia="宋体"/>
                <w:spacing w:val="-4"/>
                <w:sz w:val="18"/>
                <w:szCs w:val="18"/>
              </w:rPr>
              <w:t>.</w:t>
            </w:r>
            <w:r>
              <w:rPr>
                <w:rFonts w:hint="eastAsia" w:ascii="宋体" w:hAnsi="宋体" w:eastAsia="宋体"/>
                <w:spacing w:val="-4"/>
                <w:sz w:val="18"/>
                <w:szCs w:val="18"/>
              </w:rPr>
              <w:t>其他违反法律法规规章文件规定的行为。</w:t>
            </w:r>
          </w:p>
          <w:p>
            <w:pPr>
              <w:tabs>
                <w:tab w:val="left" w:pos="7937"/>
              </w:tabs>
              <w:spacing w:line="260" w:lineRule="exact"/>
              <w:rPr>
                <w:rFonts w:ascii="宋体" w:hAnsi="宋体" w:eastAsia="宋体"/>
                <w:sz w:val="18"/>
              </w:rPr>
            </w:pPr>
          </w:p>
        </w:tc>
        <w:tc>
          <w:tcPr>
            <w:tcW w:w="1375" w:type="dxa"/>
            <w:vAlign w:val="center"/>
          </w:tcPr>
          <w:p>
            <w:pPr>
              <w:spacing w:line="400" w:lineRule="exact"/>
              <w:jc w:val="center"/>
              <w:rPr>
                <w:rFonts w:ascii="宋体" w:hAnsi="宋体"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trPr>
        <w:tc>
          <w:tcPr>
            <w:tcW w:w="690" w:type="dxa"/>
            <w:vAlign w:val="center"/>
          </w:tcPr>
          <w:p>
            <w:pPr>
              <w:tabs>
                <w:tab w:val="left" w:pos="7937"/>
              </w:tabs>
              <w:spacing w:line="260" w:lineRule="exact"/>
              <w:jc w:val="center"/>
              <w:rPr>
                <w:rFonts w:hint="default" w:ascii="宋体" w:hAnsi="宋体" w:eastAsia="宋体"/>
                <w:sz w:val="18"/>
                <w:lang w:val="en-US"/>
              </w:rPr>
            </w:pPr>
            <w:r>
              <w:rPr>
                <w:rFonts w:hint="eastAsia" w:ascii="宋体" w:hAnsi="宋体" w:eastAsia="宋体"/>
                <w:sz w:val="18"/>
                <w:szCs w:val="18"/>
                <w:lang w:val="en-US" w:eastAsia="zh-CN"/>
              </w:rPr>
              <w:t>35</w:t>
            </w:r>
          </w:p>
        </w:tc>
        <w:tc>
          <w:tcPr>
            <w:tcW w:w="1247" w:type="dxa"/>
            <w:vAlign w:val="center"/>
          </w:tcPr>
          <w:p>
            <w:pPr>
              <w:tabs>
                <w:tab w:val="left" w:pos="7937"/>
              </w:tabs>
              <w:spacing w:line="260" w:lineRule="exact"/>
              <w:jc w:val="center"/>
              <w:rPr>
                <w:rFonts w:hint="eastAsia" w:ascii="宋体" w:hAnsi="宋体" w:eastAsia="宋体"/>
                <w:sz w:val="18"/>
              </w:rPr>
            </w:pPr>
            <w:r>
              <w:rPr>
                <w:rFonts w:hint="eastAsia" w:ascii="宋体" w:hAnsi="宋体" w:eastAsia="宋体"/>
                <w:sz w:val="18"/>
                <w:szCs w:val="18"/>
              </w:rPr>
              <w:t>其他权力</w:t>
            </w:r>
          </w:p>
        </w:tc>
        <w:tc>
          <w:tcPr>
            <w:tcW w:w="1247" w:type="dxa"/>
            <w:vAlign w:val="center"/>
          </w:tcPr>
          <w:p>
            <w:pPr>
              <w:tabs>
                <w:tab w:val="left" w:pos="7937"/>
              </w:tabs>
              <w:spacing w:line="260" w:lineRule="exact"/>
              <w:rPr>
                <w:rFonts w:hint="eastAsia" w:ascii="宋体" w:hAnsi="宋体" w:eastAsia="宋体"/>
                <w:sz w:val="18"/>
              </w:rPr>
            </w:pPr>
            <w:r>
              <w:rPr>
                <w:rFonts w:hint="eastAsia" w:ascii="宋体" w:hAnsi="宋体" w:eastAsia="宋体"/>
                <w:sz w:val="18"/>
              </w:rPr>
              <w:t>单用途商业预付卡规模发卡企业备案</w:t>
            </w:r>
          </w:p>
        </w:tc>
        <w:tc>
          <w:tcPr>
            <w:tcW w:w="1247" w:type="dxa"/>
            <w:vAlign w:val="center"/>
          </w:tcPr>
          <w:p>
            <w:pPr>
              <w:tabs>
                <w:tab w:val="left" w:pos="7937"/>
              </w:tabs>
              <w:spacing w:line="260" w:lineRule="exact"/>
              <w:rPr>
                <w:rFonts w:ascii="宋体" w:hAnsi="宋体" w:eastAsia="宋体"/>
                <w:sz w:val="18"/>
                <w:szCs w:val="18"/>
              </w:rPr>
            </w:pPr>
            <w:r>
              <w:rPr>
                <w:rFonts w:ascii="宋体" w:hAnsi="宋体" w:eastAsia="宋体"/>
                <w:sz w:val="18"/>
                <w:szCs w:val="18"/>
              </w:rPr>
              <w:t>玉田县商务和投资促进局</w:t>
            </w:r>
          </w:p>
        </w:tc>
        <w:tc>
          <w:tcPr>
            <w:tcW w:w="2075" w:type="dxa"/>
            <w:vAlign w:val="center"/>
          </w:tcPr>
          <w:p>
            <w:pPr>
              <w:tabs>
                <w:tab w:val="left" w:pos="7937"/>
              </w:tabs>
              <w:spacing w:line="260" w:lineRule="exact"/>
              <w:rPr>
                <w:rFonts w:hint="eastAsia" w:ascii="宋体" w:hAnsi="宋体" w:eastAsia="宋体"/>
                <w:sz w:val="18"/>
              </w:rPr>
            </w:pPr>
            <w:r>
              <w:rPr>
                <w:rFonts w:hint="eastAsia" w:ascii="宋体" w:hAnsi="宋体" w:eastAsia="宋体"/>
                <w:sz w:val="18"/>
              </w:rPr>
              <w:t>《</w:t>
            </w:r>
            <w:r>
              <w:rPr>
                <w:rFonts w:hint="eastAsia" w:ascii="宋体" w:hAnsi="宋体" w:eastAsia="宋体"/>
                <w:sz w:val="18"/>
                <w:szCs w:val="18"/>
              </w:rPr>
              <w:t>单用途商业预付卡管理办法（试行）》</w:t>
            </w:r>
            <w:r>
              <w:rPr>
                <w:rFonts w:hint="eastAsia" w:ascii="宋体" w:hAnsi="宋体" w:eastAsia="宋体" w:cs="宋体"/>
                <w:kern w:val="0"/>
                <w:sz w:val="18"/>
                <w:szCs w:val="18"/>
              </w:rPr>
              <w:t>第七条 发卡企业应在开展单用途卡业务之日起30日内按照下列规定办理备案：（二） 规模发卡企业向其工商登记注册地设区的市人民政府商务主管部门备案</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w:t>
            </w:r>
            <w:r>
              <w:rPr>
                <w:rFonts w:hint="eastAsia" w:ascii="宋体" w:hAnsi="宋体" w:eastAsia="宋体" w:cs="宋体"/>
                <w:kern w:val="0"/>
                <w:sz w:val="23"/>
                <w:szCs w:val="23"/>
              </w:rPr>
              <w:br w:type="textWrapping"/>
            </w:r>
          </w:p>
        </w:tc>
        <w:tc>
          <w:tcPr>
            <w:tcW w:w="2921" w:type="dxa"/>
            <w:vAlign w:val="center"/>
          </w:tcPr>
          <w:p>
            <w:pPr>
              <w:tabs>
                <w:tab w:val="left" w:pos="7937"/>
              </w:tabs>
              <w:spacing w:line="260" w:lineRule="exact"/>
              <w:rPr>
                <w:rFonts w:hint="eastAsia" w:ascii="宋体" w:hAnsi="宋体" w:eastAsia="宋体" w:cs="宋体"/>
                <w:kern w:val="0"/>
                <w:sz w:val="18"/>
                <w:szCs w:val="18"/>
              </w:rPr>
            </w:pPr>
            <w:r>
              <w:rPr>
                <w:rFonts w:hint="eastAsia" w:ascii="宋体" w:hAnsi="宋体" w:eastAsia="宋体" w:cs="宋体"/>
                <w:color w:val="auto"/>
                <w:kern w:val="0"/>
                <w:sz w:val="18"/>
                <w:szCs w:val="18"/>
              </w:rPr>
              <w:t>1、受理责任：受理依法提出的单用途商业预付卡发卡备案申请；</w:t>
            </w:r>
            <w:r>
              <w:rPr>
                <w:rFonts w:hint="eastAsia" w:ascii="宋体" w:hAnsi="宋体" w:cs="宋体"/>
                <w:color w:val="404040"/>
                <w:kern w:val="0"/>
                <w:sz w:val="18"/>
                <w:szCs w:val="18"/>
              </w:rPr>
              <w:t xml:space="preserve">           2、</w:t>
            </w:r>
            <w:r>
              <w:rPr>
                <w:rFonts w:hint="eastAsia" w:ascii="宋体" w:hAnsi="宋体" w:eastAsia="宋体" w:cs="宋体"/>
                <w:kern w:val="0"/>
                <w:sz w:val="18"/>
                <w:szCs w:val="18"/>
              </w:rPr>
              <w:t>审查责任：对发卡企业备案合法性进行审查；</w:t>
            </w:r>
          </w:p>
          <w:p>
            <w:pPr>
              <w:tabs>
                <w:tab w:val="left" w:pos="7937"/>
              </w:tabs>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3、决定责任：在法定期限内</w:t>
            </w:r>
            <w:r>
              <w:rPr>
                <w:rFonts w:hint="eastAsia" w:ascii="宋体" w:hAnsi="宋体" w:eastAsia="宋体" w:cs="宋体"/>
                <w:kern w:val="0"/>
                <w:sz w:val="18"/>
                <w:szCs w:val="18"/>
                <w:lang w:eastAsia="zh-CN"/>
              </w:rPr>
              <w:t>作出</w:t>
            </w:r>
            <w:r>
              <w:rPr>
                <w:rFonts w:hint="eastAsia" w:ascii="宋体" w:hAnsi="宋体" w:eastAsia="宋体" w:cs="宋体"/>
                <w:kern w:val="0"/>
                <w:sz w:val="18"/>
                <w:szCs w:val="18"/>
              </w:rPr>
              <w:t xml:space="preserve">单用途商业预付卡发卡企业备案决定； </w:t>
            </w:r>
          </w:p>
          <w:p>
            <w:pPr>
              <w:tabs>
                <w:tab w:val="left" w:pos="7937"/>
              </w:tabs>
              <w:spacing w:line="260" w:lineRule="exact"/>
              <w:rPr>
                <w:rFonts w:ascii="宋体" w:hAnsi="宋体" w:eastAsia="宋体"/>
                <w:sz w:val="18"/>
              </w:rPr>
            </w:pPr>
            <w:r>
              <w:rPr>
                <w:rFonts w:hint="eastAsia" w:ascii="宋体" w:hAnsi="宋体" w:eastAsia="宋体" w:cs="宋体"/>
                <w:kern w:val="0"/>
                <w:sz w:val="18"/>
                <w:szCs w:val="18"/>
              </w:rPr>
              <w:br w:type="textWrapping"/>
            </w:r>
          </w:p>
        </w:tc>
        <w:tc>
          <w:tcPr>
            <w:tcW w:w="3050" w:type="dxa"/>
            <w:vAlign w:val="center"/>
          </w:tcPr>
          <w:p>
            <w:pPr>
              <w:tabs>
                <w:tab w:val="left" w:pos="7937"/>
              </w:tabs>
              <w:spacing w:line="260" w:lineRule="exac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rPr>
                <w:rFonts w:hint="eastAsia" w:ascii="宋体" w:hAnsi="宋体" w:eastAsia="宋体"/>
                <w:sz w:val="18"/>
                <w:szCs w:val="18"/>
              </w:rPr>
            </w:pPr>
            <w:r>
              <w:rPr>
                <w:rFonts w:hint="eastAsia" w:ascii="宋体" w:hAnsi="宋体" w:eastAsia="宋体"/>
                <w:sz w:val="18"/>
                <w:szCs w:val="18"/>
              </w:rPr>
              <w:t>1、无正当理由拒绝受理依法提出的单用途商业预付卡发卡企业备案请求的；</w:t>
            </w:r>
          </w:p>
          <w:p>
            <w:pPr>
              <w:tabs>
                <w:tab w:val="left" w:pos="7937"/>
              </w:tabs>
              <w:spacing w:line="260" w:lineRule="exact"/>
              <w:rPr>
                <w:rFonts w:hint="eastAsia" w:ascii="宋体" w:hAnsi="宋体" w:eastAsia="宋体"/>
                <w:sz w:val="18"/>
                <w:szCs w:val="18"/>
              </w:rPr>
            </w:pPr>
            <w:r>
              <w:rPr>
                <w:rFonts w:hint="eastAsia" w:ascii="宋体" w:hAnsi="宋体" w:eastAsia="宋体"/>
                <w:sz w:val="18"/>
                <w:szCs w:val="18"/>
              </w:rPr>
              <w:t>2、审核中有</w:t>
            </w:r>
            <w:r>
              <w:rPr>
                <w:rFonts w:hint="eastAsia" w:ascii="宋体" w:hAnsi="宋体" w:eastAsia="宋体"/>
                <w:sz w:val="18"/>
                <w:szCs w:val="18"/>
                <w:lang w:eastAsia="zh-CN"/>
              </w:rPr>
              <w:t>徇</w:t>
            </w:r>
            <w:r>
              <w:rPr>
                <w:rFonts w:hint="eastAsia" w:ascii="宋体" w:hAnsi="宋体" w:eastAsia="宋体"/>
                <w:sz w:val="18"/>
                <w:szCs w:val="18"/>
              </w:rPr>
              <w:t>私舞弊或者有其他渎职、失职行为的；</w:t>
            </w:r>
          </w:p>
          <w:p>
            <w:pPr>
              <w:tabs>
                <w:tab w:val="left" w:pos="7937"/>
              </w:tabs>
              <w:spacing w:line="260" w:lineRule="exact"/>
              <w:rPr>
                <w:rFonts w:hint="eastAsia" w:ascii="宋体" w:hAnsi="宋体" w:eastAsia="宋体"/>
                <w:sz w:val="18"/>
                <w:szCs w:val="18"/>
              </w:rPr>
            </w:pPr>
            <w:r>
              <w:rPr>
                <w:rFonts w:hint="eastAsia" w:ascii="宋体" w:hAnsi="宋体" w:eastAsia="宋体"/>
                <w:sz w:val="18"/>
                <w:szCs w:val="18"/>
              </w:rPr>
              <w:t>3、不在法定期限内作出单用途预付卡发卡企业备案决定的；</w:t>
            </w:r>
          </w:p>
          <w:p>
            <w:pPr>
              <w:tabs>
                <w:tab w:val="left" w:pos="7937"/>
              </w:tabs>
              <w:spacing w:line="260" w:lineRule="exact"/>
              <w:rPr>
                <w:rFonts w:ascii="宋体" w:hAnsi="宋体" w:eastAsia="宋体"/>
                <w:sz w:val="18"/>
              </w:rPr>
            </w:pPr>
            <w:r>
              <w:rPr>
                <w:rFonts w:hint="eastAsia" w:ascii="宋体" w:hAnsi="宋体" w:eastAsia="宋体"/>
                <w:sz w:val="18"/>
                <w:szCs w:val="18"/>
              </w:rPr>
              <w:t>4、其他违反法律法规规章文件规定的行为。</w:t>
            </w:r>
          </w:p>
        </w:tc>
        <w:tc>
          <w:tcPr>
            <w:tcW w:w="1375" w:type="dxa"/>
            <w:vAlign w:val="center"/>
          </w:tcPr>
          <w:p>
            <w:pPr>
              <w:spacing w:line="400" w:lineRule="exact"/>
              <w:jc w:val="center"/>
              <w:rPr>
                <w:rFonts w:ascii="宋体" w:hAnsi="宋体" w:eastAsia="宋体"/>
                <w:sz w:val="18"/>
              </w:rPr>
            </w:pPr>
          </w:p>
        </w:tc>
      </w:tr>
    </w:tbl>
    <w:p>
      <w:pPr>
        <w:spacing w:line="600" w:lineRule="exact"/>
        <w:rPr>
          <w:rFonts w:ascii="方正小标宋简体" w:hAnsi="方正小标宋简体" w:eastAsia="方正小标宋简体"/>
          <w:sz w:val="36"/>
        </w:rPr>
      </w:pPr>
    </w:p>
    <w:sectPr>
      <w:footerReference r:id="rId3" w:type="default"/>
      <w:pgSz w:w="16838" w:h="11906" w:orient="landscape"/>
      <w:pgMar w:top="1587" w:right="1701" w:bottom="1587" w:left="1587" w:header="851" w:footer="992" w:gutter="0"/>
      <w:pgNumType w:fmt="numberInDash"/>
      <w:cols w:space="720" w:num="1"/>
      <w:titlePg/>
      <w:docGrid w:type="linesAndChar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- 30 -</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E763F7"/>
    <w:rsid w:val="00000E8B"/>
    <w:rsid w:val="00292231"/>
    <w:rsid w:val="005C3375"/>
    <w:rsid w:val="006605BC"/>
    <w:rsid w:val="00801D73"/>
    <w:rsid w:val="009450E2"/>
    <w:rsid w:val="00967A5E"/>
    <w:rsid w:val="009E13F5"/>
    <w:rsid w:val="00C7327B"/>
    <w:rsid w:val="00FE22A3"/>
    <w:rsid w:val="03714210"/>
    <w:rsid w:val="03A11802"/>
    <w:rsid w:val="042717C6"/>
    <w:rsid w:val="05656C41"/>
    <w:rsid w:val="10CA1963"/>
    <w:rsid w:val="31ED4933"/>
    <w:rsid w:val="51E763F7"/>
    <w:rsid w:val="5215721A"/>
    <w:rsid w:val="55E62DAD"/>
    <w:rsid w:val="56053281"/>
    <w:rsid w:val="5E532E58"/>
    <w:rsid w:val="66CD6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 w:type="paragraph" w:customStyle="1" w:styleId="7">
    <w:name w:val="Char"/>
    <w:basedOn w:val="1"/>
    <w:qFormat/>
    <w:uiPriority w:val="0"/>
    <w:pPr>
      <w:snapToGrid w:val="0"/>
      <w:spacing w:afterLines="50" w:line="360" w:lineRule="auto"/>
      <w:ind w:firstLine="48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4275</Words>
  <Characters>24368</Characters>
  <Lines>203</Lines>
  <Paragraphs>57</Paragraphs>
  <TotalTime>2</TotalTime>
  <ScaleCrop>false</ScaleCrop>
  <LinksUpToDate>false</LinksUpToDate>
  <CharactersWithSpaces>28586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2020-11-19T07:59:00Z</dcterms:created>
  <dc:creator>等风来</dc:creator>
  <cp:lastModifiedBy>robin</cp:lastModifiedBy>
  <cp:lastPrinted>2020-11-23T07:03:00Z</cp:lastPrinted>
  <dcterms:modified xsi:type="dcterms:W3CDTF">2025-03-10T06:24:12Z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B6DF9EB0E6B04BB0945EEDAEED82B518</vt:lpwstr>
  </property>
</Properties>
</file>