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玉田县商务和投资促进局权责清单事项总表</w:t>
      </w:r>
    </w:p>
    <w:p>
      <w:pPr>
        <w:pStyle w:val="2"/>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3</w:t>
      </w:r>
      <w:r>
        <w:rPr>
          <w:rFonts w:hint="eastAsia" w:ascii="楷体_GB2312" w:hAnsi="楷体_GB2312" w:eastAsia="楷体_GB2312"/>
        </w:rPr>
        <w:t>类、3</w:t>
      </w:r>
      <w:r>
        <w:rPr>
          <w:rFonts w:hint="eastAsia" w:ascii="楷体_GB2312" w:hAnsi="楷体_GB2312" w:eastAsia="楷体_GB2312"/>
          <w:lang w:val="en-US" w:eastAsia="zh-CN"/>
        </w:rPr>
        <w:t>5</w:t>
      </w:r>
      <w:r>
        <w:rPr>
          <w:rFonts w:hint="eastAsia" w:ascii="楷体_GB2312" w:hAnsi="楷体_GB2312" w:eastAsia="楷体_GB2312"/>
        </w:rPr>
        <w:t>项）</w:t>
      </w:r>
    </w:p>
    <w:p>
      <w:pPr>
        <w:spacing w:line="600" w:lineRule="exact"/>
        <w:rPr>
          <w:rFonts w:ascii="仿宋_GB2312"/>
        </w:rPr>
      </w:pPr>
      <w:r>
        <w:rPr>
          <w:rFonts w:hint="eastAsia" w:ascii="楷体_GB2312" w:hAnsi="楷体_GB2312" w:eastAsia="楷体_GB2312"/>
          <w:sz w:val="28"/>
        </w:rPr>
        <w:t>单位：玉田县商务和投资促进</w:t>
      </w:r>
      <w:r>
        <w:rPr>
          <w:rFonts w:hint="eastAsia" w:ascii="楷体_GB2312" w:hAnsi="楷体_GB2312" w:eastAsia="楷体_GB2312" w:cs="Arial"/>
          <w:sz w:val="28"/>
        </w:rPr>
        <w:t>局（公章）</w:t>
      </w:r>
    </w:p>
    <w:tbl>
      <w:tblPr>
        <w:tblStyle w:val="5"/>
        <w:tblW w:w="13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85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总序号</w:t>
            </w:r>
          </w:p>
        </w:tc>
        <w:tc>
          <w:tcPr>
            <w:tcW w:w="3200"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类别及序号</w:t>
            </w:r>
          </w:p>
        </w:tc>
        <w:tc>
          <w:tcPr>
            <w:tcW w:w="6858"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项目名称及数量</w:t>
            </w:r>
          </w:p>
        </w:tc>
        <w:tc>
          <w:tcPr>
            <w:tcW w:w="2356" w:type="dxa"/>
            <w:vAlign w:val="center"/>
          </w:tcPr>
          <w:p>
            <w:pPr>
              <w:spacing w:line="600" w:lineRule="exact"/>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spacing w:line="600" w:lineRule="exact"/>
              <w:jc w:val="center"/>
              <w:rPr>
                <w:rFonts w:ascii="仿宋_GB2312"/>
                <w:sz w:val="24"/>
                <w:szCs w:val="24"/>
              </w:rPr>
            </w:pPr>
          </w:p>
        </w:tc>
        <w:tc>
          <w:tcPr>
            <w:tcW w:w="3200" w:type="dxa"/>
            <w:vAlign w:val="center"/>
          </w:tcPr>
          <w:p>
            <w:pPr>
              <w:spacing w:line="600" w:lineRule="exact"/>
              <w:jc w:val="center"/>
              <w:rPr>
                <w:rFonts w:ascii="仿宋_GB2312"/>
              </w:rPr>
            </w:pPr>
            <w:r>
              <w:rPr>
                <w:rFonts w:hint="eastAsia" w:ascii="仿宋_GB2312"/>
              </w:rPr>
              <w:t>一、行政处罚</w:t>
            </w:r>
          </w:p>
        </w:tc>
        <w:tc>
          <w:tcPr>
            <w:tcW w:w="6858" w:type="dxa"/>
            <w:vAlign w:val="center"/>
          </w:tcPr>
          <w:p>
            <w:pPr>
              <w:spacing w:line="600" w:lineRule="exact"/>
              <w:jc w:val="center"/>
              <w:rPr>
                <w:rFonts w:ascii="仿宋_GB2312"/>
              </w:rPr>
            </w:pPr>
            <w:r>
              <w:rPr>
                <w:rFonts w:hint="eastAsia" w:ascii="仿宋_GB2312"/>
              </w:rPr>
              <w:t>共27项</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零售商滥用优势地位从事不公平交易行为的处罚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零售商收取促销服务费后，未按合同约定向供应商提供相应的服务，擅自终止服务或降低法务标准，并拒绝向供应商发还未提供服务部分费用的处罚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零售商违规收费行为的处罚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4</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4</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零售商违规延迟向供应商支付货款行为的处罚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5</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5</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供应商供货时，强行搭售零售商未定购商品的处罚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6</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6</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供应商供货时，限制零售商销售其他供应商商品的处罚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7</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7</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发卡企业未在开展单用途卡业务之日起30日内按照规定办理备案的处罚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8</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8</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发卡企业违规发行预付卡行为的处罚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9</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9</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发卡企业违反资金管理行为的处罚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10</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10</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家庭服务机构违规经营行为的处罚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11</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11</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从事洗染经营活动的经营者在取得营业执照后60日内未向同级商务主管部门办理备案的处罚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12</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12</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家电维修经营者违反《家电维修服务业管理办法》第九条规定的处罚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13</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13</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市场经营者违反《商品现货市场交易特别规定（试行）》第十一条、第十二条、第十三条、第十四条、第十七条、第十八条、第十九条、第二十一条规定处罚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14</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14</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对于餐饮经营者违反餐饮业经营管理规定的处罚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15</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15</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对于从事汽车销售及相关服务的企业违反销售行为规范及销售市场秩序行为的处罚（一）</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16</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16</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对于从事汽车销售及相关服务的企业违反销售行为规范及销售市场秩序行为的处罚（二）</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17</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17</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回收拆解企业违法细则第七条第一款的处罚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18</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18</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回收拆解企业违反细则第十四条的处罚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19</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19</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回收拆解企业违反细则第十五条第一款的处罚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20</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20</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回收拆解企业违反细则第十五条第二款的处罚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21</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21</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回收拆解企业违反细则第十九条第一款、第二十条、第二十一条的处罚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22</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22</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回收拆解企业违反细则第十九条第二款的处罚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23</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23</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回收拆解企业违反细则第二十三条的处罚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24</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24</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回收拆解企业违反细则第二十四条的处罚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25</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25</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回收拆解企业违反细则第二十六条的处罚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26</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26</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回收拆解企业违反细则第二十七条的处罚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27</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27</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回收拆解企业违反细则第二十八、第二十九条的处罚</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p>
        </w:tc>
        <w:tc>
          <w:tcPr>
            <w:tcW w:w="3200" w:type="dxa"/>
            <w:vAlign w:val="center"/>
          </w:tcPr>
          <w:p>
            <w:pPr>
              <w:spacing w:line="600" w:lineRule="exact"/>
              <w:jc w:val="center"/>
              <w:rPr>
                <w:rFonts w:ascii="仿宋_GB2312"/>
              </w:rPr>
            </w:pPr>
            <w:r>
              <w:rPr>
                <w:rFonts w:hint="eastAsia" w:ascii="仿宋_GB2312"/>
              </w:rPr>
              <w:t>二、行政检查</w:t>
            </w:r>
          </w:p>
        </w:tc>
        <w:tc>
          <w:tcPr>
            <w:tcW w:w="6858" w:type="dxa"/>
            <w:vAlign w:val="center"/>
          </w:tcPr>
          <w:p>
            <w:pPr>
              <w:spacing w:line="600" w:lineRule="exact"/>
              <w:jc w:val="center"/>
              <w:rPr>
                <w:rFonts w:ascii="仿宋_GB2312"/>
              </w:rPr>
            </w:pPr>
            <w:r>
              <w:rPr>
                <w:rFonts w:hint="eastAsia" w:ascii="仿宋_GB2312"/>
              </w:rPr>
              <w:t>共7项</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28</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对家庭服务企业进行的行政检查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29</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对洗染经营企业进行的行政检查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30</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对家电维修企业进行的行政检查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31</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4</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对餐饮企业进行的行政检查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32</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5</w:t>
            </w:r>
          </w:p>
        </w:tc>
        <w:tc>
          <w:tcPr>
            <w:tcW w:w="6858"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对汽车销售及其相关服务活动实施日常监督检查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33</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6</w:t>
            </w:r>
          </w:p>
        </w:tc>
        <w:tc>
          <w:tcPr>
            <w:tcW w:w="6858" w:type="dxa"/>
            <w:vAlign w:val="center"/>
          </w:tcPr>
          <w:p>
            <w:pPr>
              <w:autoSpaceDN w:val="0"/>
              <w:spacing w:line="300" w:lineRule="exact"/>
              <w:ind w:firstLine="1856" w:firstLineChars="800"/>
              <w:textAlignment w:val="center"/>
              <w:rPr>
                <w:rFonts w:ascii="仿宋_GB2312" w:hAnsi="仿宋_GB2312"/>
                <w:color w:val="000000"/>
                <w:sz w:val="24"/>
              </w:rPr>
            </w:pPr>
            <w:r>
              <w:rPr>
                <w:rFonts w:hint="eastAsia" w:ascii="仿宋_GB2312" w:hAnsi="仿宋_GB2312"/>
                <w:color w:val="000000"/>
                <w:sz w:val="24"/>
              </w:rPr>
              <w:t>对发卡企业进行的行政检查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34</w:t>
            </w:r>
          </w:p>
        </w:tc>
        <w:tc>
          <w:tcPr>
            <w:tcW w:w="3200"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7</w:t>
            </w:r>
          </w:p>
        </w:tc>
        <w:tc>
          <w:tcPr>
            <w:tcW w:w="6858" w:type="dxa"/>
            <w:vAlign w:val="center"/>
          </w:tcPr>
          <w:p>
            <w:pPr>
              <w:spacing w:line="600" w:lineRule="exact"/>
              <w:jc w:val="center"/>
              <w:rPr>
                <w:rFonts w:ascii="仿宋_GB2312"/>
              </w:rPr>
            </w:pPr>
            <w:r>
              <w:rPr>
                <w:rFonts w:hint="eastAsia" w:ascii="仿宋_GB2312" w:hAnsi="仿宋_GB2312"/>
                <w:color w:val="000000"/>
                <w:sz w:val="24"/>
              </w:rPr>
              <w:t>对报废机动车回收拆解企业的检查</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hint="eastAsia" w:ascii="仿宋_GB2312" w:hAnsi="仿宋_GB2312"/>
                <w:color w:val="000000"/>
                <w:sz w:val="24"/>
              </w:rPr>
            </w:pPr>
          </w:p>
        </w:tc>
        <w:tc>
          <w:tcPr>
            <w:tcW w:w="3200" w:type="dxa"/>
            <w:vAlign w:val="center"/>
          </w:tcPr>
          <w:p>
            <w:pPr>
              <w:autoSpaceDN w:val="0"/>
              <w:spacing w:line="300" w:lineRule="exact"/>
              <w:jc w:val="center"/>
              <w:textAlignment w:val="center"/>
              <w:rPr>
                <w:rFonts w:hint="default" w:ascii="仿宋_GB2312" w:hAnsi="仿宋_GB2312" w:eastAsia="仿宋_GB2312"/>
                <w:color w:val="000000"/>
                <w:sz w:val="24"/>
                <w:lang w:val="en-US" w:eastAsia="zh-CN"/>
              </w:rPr>
            </w:pPr>
            <w:r>
              <w:rPr>
                <w:rFonts w:hint="eastAsia" w:ascii="仿宋_GB2312" w:hAnsi="Times New Roman"/>
                <w:lang w:val="en-US" w:eastAsia="zh-CN"/>
              </w:rPr>
              <w:t>三、其他类</w:t>
            </w:r>
          </w:p>
        </w:tc>
        <w:tc>
          <w:tcPr>
            <w:tcW w:w="6858" w:type="dxa"/>
            <w:vAlign w:val="center"/>
          </w:tcPr>
          <w:p>
            <w:pPr>
              <w:spacing w:line="600" w:lineRule="exact"/>
              <w:jc w:val="center"/>
              <w:rPr>
                <w:rFonts w:hint="default" w:ascii="仿宋_GB2312" w:hAnsi="仿宋_GB2312" w:eastAsia="仿宋_GB2312"/>
                <w:color w:val="000000"/>
                <w:sz w:val="24"/>
                <w:lang w:val="en-US" w:eastAsia="zh-CN"/>
              </w:rPr>
            </w:pPr>
            <w:r>
              <w:rPr>
                <w:rFonts w:hint="eastAsia" w:ascii="仿宋_GB2312"/>
                <w:lang w:val="en-US" w:eastAsia="zh-CN"/>
              </w:rPr>
              <w:t>共1项</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N w:val="0"/>
              <w:spacing w:line="300" w:lineRule="exact"/>
              <w:jc w:val="center"/>
              <w:textAlignment w:val="center"/>
              <w:rPr>
                <w:rFonts w:hint="default" w:ascii="仿宋_GB2312" w:hAnsi="仿宋_GB2312" w:eastAsia="仿宋_GB2312"/>
                <w:color w:val="000000"/>
                <w:sz w:val="24"/>
                <w:lang w:val="en-US" w:eastAsia="zh-CN"/>
              </w:rPr>
            </w:pPr>
            <w:r>
              <w:rPr>
                <w:rFonts w:hint="eastAsia" w:ascii="仿宋_GB2312" w:hAnsi="仿宋_GB2312"/>
                <w:color w:val="000000"/>
                <w:sz w:val="24"/>
                <w:lang w:val="en-US" w:eastAsia="zh-CN"/>
              </w:rPr>
              <w:t>35</w:t>
            </w:r>
          </w:p>
        </w:tc>
        <w:tc>
          <w:tcPr>
            <w:tcW w:w="3200" w:type="dxa"/>
            <w:vAlign w:val="center"/>
          </w:tcPr>
          <w:p>
            <w:pPr>
              <w:autoSpaceDN w:val="0"/>
              <w:spacing w:line="300" w:lineRule="exact"/>
              <w:jc w:val="center"/>
              <w:textAlignment w:val="center"/>
              <w:rPr>
                <w:rFonts w:hint="default" w:ascii="仿宋_GB2312" w:hAnsi="仿宋_GB2312"/>
                <w:color w:val="000000"/>
                <w:sz w:val="24"/>
                <w:lang w:val="en-US" w:eastAsia="zh-CN"/>
              </w:rPr>
            </w:pPr>
            <w:r>
              <w:rPr>
                <w:rFonts w:hint="eastAsia" w:ascii="仿宋_GB2312" w:hAnsi="仿宋_GB2312"/>
                <w:color w:val="000000"/>
                <w:sz w:val="24"/>
                <w:lang w:val="en-US" w:eastAsia="zh-CN"/>
              </w:rPr>
              <w:t>1</w:t>
            </w:r>
          </w:p>
        </w:tc>
        <w:tc>
          <w:tcPr>
            <w:tcW w:w="6858" w:type="dxa"/>
            <w:vAlign w:val="center"/>
          </w:tcPr>
          <w:p>
            <w:pPr>
              <w:spacing w:line="600" w:lineRule="exact"/>
              <w:jc w:val="center"/>
              <w:rPr>
                <w:rFonts w:hint="eastAsia" w:ascii="仿宋_GB2312"/>
                <w:lang w:val="en-US" w:eastAsia="zh-CN"/>
              </w:rPr>
            </w:pPr>
            <w:r>
              <w:rPr>
                <w:rFonts w:hint="eastAsia" w:ascii="仿宋_GB2312" w:hAnsi="仿宋_GB2312"/>
                <w:b w:val="0"/>
                <w:i w:val="0"/>
                <w:snapToGrid/>
                <w:color w:val="000000"/>
                <w:sz w:val="24"/>
                <w:u w:val="none"/>
                <w:lang w:val="en-US" w:eastAsia="zh-CN"/>
              </w:rPr>
              <w:t>单用途商业预付卡规模发卡企业备案</w:t>
            </w:r>
          </w:p>
        </w:tc>
        <w:tc>
          <w:tcPr>
            <w:tcW w:w="2356" w:type="dxa"/>
            <w:vAlign w:val="center"/>
          </w:tcPr>
          <w:p>
            <w:pPr>
              <w:spacing w:line="600" w:lineRule="exact"/>
              <w:jc w:val="center"/>
              <w:rPr>
                <w:rFonts w:ascii="仿宋_GB2312"/>
              </w:rPr>
            </w:pPr>
          </w:p>
        </w:tc>
      </w:tr>
    </w:tbl>
    <w:p>
      <w:pPr>
        <w:spacing w:line="400" w:lineRule="exact"/>
      </w:pPr>
      <w:bookmarkStart w:id="0" w:name="_GoBack"/>
      <w:bookmarkEnd w:id="0"/>
    </w:p>
    <w:sectPr>
      <w:footerReference r:id="rId3" w:type="default"/>
      <w:pgSz w:w="16838" w:h="11906" w:orient="landscape"/>
      <w:pgMar w:top="1474" w:right="1701" w:bottom="1474" w:left="1588"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3687030"/>
    <w:rsid w:val="00034193"/>
    <w:rsid w:val="00124589"/>
    <w:rsid w:val="00227575"/>
    <w:rsid w:val="002D5D99"/>
    <w:rsid w:val="002F1CA5"/>
    <w:rsid w:val="002F3C2D"/>
    <w:rsid w:val="00347A12"/>
    <w:rsid w:val="004A526D"/>
    <w:rsid w:val="004B51C2"/>
    <w:rsid w:val="005D2600"/>
    <w:rsid w:val="007F7C56"/>
    <w:rsid w:val="008D7A5D"/>
    <w:rsid w:val="009B1170"/>
    <w:rsid w:val="00B744C2"/>
    <w:rsid w:val="00B960D3"/>
    <w:rsid w:val="00D935F1"/>
    <w:rsid w:val="00DF1D9E"/>
    <w:rsid w:val="00FC61E8"/>
    <w:rsid w:val="016F46FA"/>
    <w:rsid w:val="018D53D7"/>
    <w:rsid w:val="019C1ADC"/>
    <w:rsid w:val="01EA23BD"/>
    <w:rsid w:val="02AB4F33"/>
    <w:rsid w:val="03613131"/>
    <w:rsid w:val="03A47FF8"/>
    <w:rsid w:val="046F60DC"/>
    <w:rsid w:val="04835B70"/>
    <w:rsid w:val="04AB7AAD"/>
    <w:rsid w:val="050A21D6"/>
    <w:rsid w:val="050D5CFC"/>
    <w:rsid w:val="05443CBB"/>
    <w:rsid w:val="05C31C58"/>
    <w:rsid w:val="060166DC"/>
    <w:rsid w:val="06167A85"/>
    <w:rsid w:val="06183487"/>
    <w:rsid w:val="06811C40"/>
    <w:rsid w:val="06BE7B3A"/>
    <w:rsid w:val="06E668C2"/>
    <w:rsid w:val="07233118"/>
    <w:rsid w:val="078D6158"/>
    <w:rsid w:val="07BE12C2"/>
    <w:rsid w:val="083B000B"/>
    <w:rsid w:val="08690253"/>
    <w:rsid w:val="08F61CDC"/>
    <w:rsid w:val="09082548"/>
    <w:rsid w:val="09262850"/>
    <w:rsid w:val="09CD3927"/>
    <w:rsid w:val="0A3273B2"/>
    <w:rsid w:val="0A5F6C47"/>
    <w:rsid w:val="0AF42E6D"/>
    <w:rsid w:val="0AFC096D"/>
    <w:rsid w:val="0B3F44DC"/>
    <w:rsid w:val="0B55320D"/>
    <w:rsid w:val="0BCF547B"/>
    <w:rsid w:val="0C107893"/>
    <w:rsid w:val="0C9D0C40"/>
    <w:rsid w:val="0CA14072"/>
    <w:rsid w:val="0D3D2D82"/>
    <w:rsid w:val="0D665512"/>
    <w:rsid w:val="0E141541"/>
    <w:rsid w:val="0ED5096C"/>
    <w:rsid w:val="0EE12DBC"/>
    <w:rsid w:val="0EE80AD8"/>
    <w:rsid w:val="0F274734"/>
    <w:rsid w:val="102D0A50"/>
    <w:rsid w:val="10550BDD"/>
    <w:rsid w:val="10633560"/>
    <w:rsid w:val="10730622"/>
    <w:rsid w:val="10AA18CA"/>
    <w:rsid w:val="10C41CA0"/>
    <w:rsid w:val="116964ED"/>
    <w:rsid w:val="123B360C"/>
    <w:rsid w:val="12A04005"/>
    <w:rsid w:val="131F6BDF"/>
    <w:rsid w:val="133C61E5"/>
    <w:rsid w:val="13676598"/>
    <w:rsid w:val="13687030"/>
    <w:rsid w:val="13AB7DCD"/>
    <w:rsid w:val="13B62B09"/>
    <w:rsid w:val="13FB68DF"/>
    <w:rsid w:val="146B22C4"/>
    <w:rsid w:val="148A3171"/>
    <w:rsid w:val="1514211A"/>
    <w:rsid w:val="15B10ED3"/>
    <w:rsid w:val="1621648A"/>
    <w:rsid w:val="162A16B5"/>
    <w:rsid w:val="16E74AED"/>
    <w:rsid w:val="16F3664A"/>
    <w:rsid w:val="181225AC"/>
    <w:rsid w:val="183B0182"/>
    <w:rsid w:val="18621C9D"/>
    <w:rsid w:val="18F56CC1"/>
    <w:rsid w:val="1963539F"/>
    <w:rsid w:val="196E6863"/>
    <w:rsid w:val="19B77529"/>
    <w:rsid w:val="1A5E0615"/>
    <w:rsid w:val="1C023961"/>
    <w:rsid w:val="1C284346"/>
    <w:rsid w:val="1C2A1FD9"/>
    <w:rsid w:val="1C821087"/>
    <w:rsid w:val="1CCE54B6"/>
    <w:rsid w:val="1D466D22"/>
    <w:rsid w:val="1DEB133C"/>
    <w:rsid w:val="1E9C0EFC"/>
    <w:rsid w:val="1F38765D"/>
    <w:rsid w:val="1F3F0BFE"/>
    <w:rsid w:val="1F57092F"/>
    <w:rsid w:val="200217F2"/>
    <w:rsid w:val="200E3BA8"/>
    <w:rsid w:val="206B0EFE"/>
    <w:rsid w:val="21E26EA6"/>
    <w:rsid w:val="22706986"/>
    <w:rsid w:val="22953DEC"/>
    <w:rsid w:val="232A1DA9"/>
    <w:rsid w:val="232A27E1"/>
    <w:rsid w:val="23C012DA"/>
    <w:rsid w:val="23E5442D"/>
    <w:rsid w:val="24660AC3"/>
    <w:rsid w:val="248210CA"/>
    <w:rsid w:val="24936912"/>
    <w:rsid w:val="25507A84"/>
    <w:rsid w:val="25586843"/>
    <w:rsid w:val="261E714F"/>
    <w:rsid w:val="26721C78"/>
    <w:rsid w:val="26F7259B"/>
    <w:rsid w:val="279E4FBA"/>
    <w:rsid w:val="29AC6F95"/>
    <w:rsid w:val="29D76B00"/>
    <w:rsid w:val="2A057760"/>
    <w:rsid w:val="2A7C4D62"/>
    <w:rsid w:val="2A9E000F"/>
    <w:rsid w:val="2AFE3AD5"/>
    <w:rsid w:val="2BD27B5F"/>
    <w:rsid w:val="2C75029D"/>
    <w:rsid w:val="2C822356"/>
    <w:rsid w:val="2CA4400F"/>
    <w:rsid w:val="2CDC0C89"/>
    <w:rsid w:val="2CE8742C"/>
    <w:rsid w:val="2DB77436"/>
    <w:rsid w:val="2EC06B7A"/>
    <w:rsid w:val="2F902DC7"/>
    <w:rsid w:val="300D3A65"/>
    <w:rsid w:val="309E173E"/>
    <w:rsid w:val="30D61884"/>
    <w:rsid w:val="30D74613"/>
    <w:rsid w:val="30D870E2"/>
    <w:rsid w:val="337C6FFF"/>
    <w:rsid w:val="35EE0639"/>
    <w:rsid w:val="361C6261"/>
    <w:rsid w:val="36E26CB2"/>
    <w:rsid w:val="36E47EE0"/>
    <w:rsid w:val="36FA6A30"/>
    <w:rsid w:val="37190532"/>
    <w:rsid w:val="371C54C3"/>
    <w:rsid w:val="373B0B20"/>
    <w:rsid w:val="375061E3"/>
    <w:rsid w:val="37D80403"/>
    <w:rsid w:val="37EF2060"/>
    <w:rsid w:val="384F7692"/>
    <w:rsid w:val="387D2504"/>
    <w:rsid w:val="38B72418"/>
    <w:rsid w:val="390031BE"/>
    <w:rsid w:val="3A333499"/>
    <w:rsid w:val="3AB10A66"/>
    <w:rsid w:val="3AC74A2C"/>
    <w:rsid w:val="3AFC715E"/>
    <w:rsid w:val="3B57280C"/>
    <w:rsid w:val="3BF83010"/>
    <w:rsid w:val="3C142628"/>
    <w:rsid w:val="3C624FF6"/>
    <w:rsid w:val="3D7C1F71"/>
    <w:rsid w:val="3E962277"/>
    <w:rsid w:val="3ED82D07"/>
    <w:rsid w:val="3EDA39BF"/>
    <w:rsid w:val="3F0C21D0"/>
    <w:rsid w:val="3F6705D0"/>
    <w:rsid w:val="3FB00F23"/>
    <w:rsid w:val="3FF760F3"/>
    <w:rsid w:val="409043E0"/>
    <w:rsid w:val="40A8057D"/>
    <w:rsid w:val="40E11F58"/>
    <w:rsid w:val="418145EE"/>
    <w:rsid w:val="42181233"/>
    <w:rsid w:val="440B177C"/>
    <w:rsid w:val="440D5923"/>
    <w:rsid w:val="463C6422"/>
    <w:rsid w:val="465E73D1"/>
    <w:rsid w:val="46905805"/>
    <w:rsid w:val="46CA24A4"/>
    <w:rsid w:val="4734028E"/>
    <w:rsid w:val="47BE2751"/>
    <w:rsid w:val="4816686F"/>
    <w:rsid w:val="48D06B9D"/>
    <w:rsid w:val="48DA204B"/>
    <w:rsid w:val="496B55D7"/>
    <w:rsid w:val="49C36E55"/>
    <w:rsid w:val="4D171805"/>
    <w:rsid w:val="4D417D22"/>
    <w:rsid w:val="4D777E6F"/>
    <w:rsid w:val="4DEF274A"/>
    <w:rsid w:val="4DF36FD2"/>
    <w:rsid w:val="4E0B6ADD"/>
    <w:rsid w:val="4F045AED"/>
    <w:rsid w:val="4FD73FE3"/>
    <w:rsid w:val="506F4DC7"/>
    <w:rsid w:val="507A37B9"/>
    <w:rsid w:val="50E038A0"/>
    <w:rsid w:val="51386999"/>
    <w:rsid w:val="52F567ED"/>
    <w:rsid w:val="53185BFF"/>
    <w:rsid w:val="538E5BB5"/>
    <w:rsid w:val="542E7D6B"/>
    <w:rsid w:val="54793929"/>
    <w:rsid w:val="5556631E"/>
    <w:rsid w:val="55727C78"/>
    <w:rsid w:val="55EF07E9"/>
    <w:rsid w:val="5665703A"/>
    <w:rsid w:val="5682779A"/>
    <w:rsid w:val="56E354DB"/>
    <w:rsid w:val="57057D9F"/>
    <w:rsid w:val="570A6D1B"/>
    <w:rsid w:val="570B753B"/>
    <w:rsid w:val="58334019"/>
    <w:rsid w:val="58974161"/>
    <w:rsid w:val="5ABD5B79"/>
    <w:rsid w:val="5C4441EE"/>
    <w:rsid w:val="5C8462D2"/>
    <w:rsid w:val="5CAE7BDC"/>
    <w:rsid w:val="5D9262A2"/>
    <w:rsid w:val="5DD163C5"/>
    <w:rsid w:val="5E0B333C"/>
    <w:rsid w:val="5E540345"/>
    <w:rsid w:val="5EC97076"/>
    <w:rsid w:val="5EE91DBB"/>
    <w:rsid w:val="5F1D66F4"/>
    <w:rsid w:val="5F2E1CC5"/>
    <w:rsid w:val="5F833571"/>
    <w:rsid w:val="60455662"/>
    <w:rsid w:val="60956DF9"/>
    <w:rsid w:val="60982B3D"/>
    <w:rsid w:val="617F74D3"/>
    <w:rsid w:val="61F14774"/>
    <w:rsid w:val="61F71C40"/>
    <w:rsid w:val="620F20FD"/>
    <w:rsid w:val="628B09B2"/>
    <w:rsid w:val="62B1434F"/>
    <w:rsid w:val="63397D24"/>
    <w:rsid w:val="6425066B"/>
    <w:rsid w:val="64E32BCA"/>
    <w:rsid w:val="652B26DD"/>
    <w:rsid w:val="653A0B78"/>
    <w:rsid w:val="65774939"/>
    <w:rsid w:val="65FF6F5A"/>
    <w:rsid w:val="665473C5"/>
    <w:rsid w:val="66672449"/>
    <w:rsid w:val="66A80367"/>
    <w:rsid w:val="66D055E6"/>
    <w:rsid w:val="66D80CA4"/>
    <w:rsid w:val="68006E57"/>
    <w:rsid w:val="68143CFF"/>
    <w:rsid w:val="69C84404"/>
    <w:rsid w:val="69ED403A"/>
    <w:rsid w:val="6A4B6B73"/>
    <w:rsid w:val="6A661E51"/>
    <w:rsid w:val="6A7F31EA"/>
    <w:rsid w:val="6AB815EA"/>
    <w:rsid w:val="6AE52D58"/>
    <w:rsid w:val="6B756997"/>
    <w:rsid w:val="6B9916BE"/>
    <w:rsid w:val="6BDB7B6A"/>
    <w:rsid w:val="6BFC24E9"/>
    <w:rsid w:val="6C353B01"/>
    <w:rsid w:val="6C510045"/>
    <w:rsid w:val="6C6A6321"/>
    <w:rsid w:val="6C6D6983"/>
    <w:rsid w:val="6C923948"/>
    <w:rsid w:val="6CE2358B"/>
    <w:rsid w:val="6D3711E4"/>
    <w:rsid w:val="6D394286"/>
    <w:rsid w:val="6DC91565"/>
    <w:rsid w:val="6E5A2E71"/>
    <w:rsid w:val="6E5A6851"/>
    <w:rsid w:val="6E7C1802"/>
    <w:rsid w:val="6F2B3CBF"/>
    <w:rsid w:val="6F775F5F"/>
    <w:rsid w:val="6FE06DF3"/>
    <w:rsid w:val="6FE51D18"/>
    <w:rsid w:val="700A502F"/>
    <w:rsid w:val="702C4B31"/>
    <w:rsid w:val="71A71E12"/>
    <w:rsid w:val="71E57DA3"/>
    <w:rsid w:val="724B2416"/>
    <w:rsid w:val="72D84B9A"/>
    <w:rsid w:val="731E6FED"/>
    <w:rsid w:val="742929DF"/>
    <w:rsid w:val="74437DDD"/>
    <w:rsid w:val="74A51F0E"/>
    <w:rsid w:val="7561641B"/>
    <w:rsid w:val="7593340D"/>
    <w:rsid w:val="75B0665E"/>
    <w:rsid w:val="760632AF"/>
    <w:rsid w:val="76213C0F"/>
    <w:rsid w:val="76796840"/>
    <w:rsid w:val="76902044"/>
    <w:rsid w:val="76E70E8A"/>
    <w:rsid w:val="771E1907"/>
    <w:rsid w:val="772C43B9"/>
    <w:rsid w:val="77565676"/>
    <w:rsid w:val="77956C48"/>
    <w:rsid w:val="78067064"/>
    <w:rsid w:val="78214BFE"/>
    <w:rsid w:val="78B00425"/>
    <w:rsid w:val="78F14C6B"/>
    <w:rsid w:val="793F743D"/>
    <w:rsid w:val="795A6F63"/>
    <w:rsid w:val="7A1D51E7"/>
    <w:rsid w:val="7A4169E8"/>
    <w:rsid w:val="7A5367B2"/>
    <w:rsid w:val="7B762B0B"/>
    <w:rsid w:val="7BC85FBE"/>
    <w:rsid w:val="7BF4719E"/>
    <w:rsid w:val="7C376140"/>
    <w:rsid w:val="7C407CF5"/>
    <w:rsid w:val="7C501A76"/>
    <w:rsid w:val="7C9927B8"/>
    <w:rsid w:val="7DE5093B"/>
    <w:rsid w:val="7DF237D3"/>
    <w:rsid w:val="7EE63E67"/>
    <w:rsid w:val="7F0E1810"/>
    <w:rsid w:val="7F2F2B30"/>
    <w:rsid w:val="7F644ED1"/>
    <w:rsid w:val="7FA720DB"/>
    <w:rsid w:val="7FAF3FF0"/>
    <w:rsid w:val="7FB80ECC"/>
    <w:rsid w:val="7FB810BB"/>
    <w:rsid w:val="7FF8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Char"/>
    <w:basedOn w:val="1"/>
    <w:qFormat/>
    <w:uiPriority w:val="0"/>
    <w:pPr>
      <w:snapToGrid w:val="0"/>
      <w:spacing w:afterLines="50" w:line="360" w:lineRule="auto"/>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1010</Characters>
  <Lines>8</Lines>
  <Paragraphs>2</Paragraphs>
  <TotalTime>1</TotalTime>
  <ScaleCrop>false</ScaleCrop>
  <LinksUpToDate>false</LinksUpToDate>
  <CharactersWithSpaces>1185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2020-11-02T02:44:00Z</dcterms:created>
  <dc:creator>等风来</dc:creator>
  <cp:lastModifiedBy>robin</cp:lastModifiedBy>
  <cp:lastPrinted>2021-03-31T01:20:00Z</cp:lastPrinted>
  <dcterms:modified xsi:type="dcterms:W3CDTF">2021-03-31T01:52:16Z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7AAAAFE69BCA42F8ADF9CDAE07FF7910</vt:lpwstr>
  </property>
</Properties>
</file>