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9" w:name="_GoBack"/>
      <w:bookmarkEnd w:id="19"/>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一、玉田县人民代表大会常务委员会本级收支预算</w:t>
      </w:r>
      <w:r>
        <w:tab/>
      </w:r>
      <w:r>
        <w:fldChar w:fldCharType="begin"/>
      </w:r>
      <w:r>
        <w:instrText xml:space="preserve">PAGEREF _Toc_4_4_0000000019 \h</w:instrText>
      </w:r>
      <w:r>
        <w:fldChar w:fldCharType="separate"/>
      </w:r>
      <w:r>
        <w:t>28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101玉田县人民代表大会常务委员会</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7325014.75</w:t>
            </w:r>
          </w:p>
        </w:tc>
        <w:tc>
          <w:tcPr>
            <w:tcW w:w="4535" w:type="dxa"/>
            <w:vAlign w:val="center"/>
          </w:tcPr>
          <w:p>
            <w:pPr>
              <w:pStyle w:val="14"/>
            </w:pPr>
            <w:r>
              <w:t>一、一般公共服务支出</w:t>
            </w:r>
          </w:p>
        </w:tc>
        <w:tc>
          <w:tcPr>
            <w:tcW w:w="2126" w:type="dxa"/>
            <w:vAlign w:val="center"/>
          </w:tcPr>
          <w:p>
            <w:pPr>
              <w:pStyle w:val="13"/>
            </w:pPr>
            <w:r>
              <w:t>7325014.75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7325014.75</w:t>
            </w:r>
          </w:p>
        </w:tc>
        <w:tc>
          <w:tcPr>
            <w:tcW w:w="4535" w:type="dxa"/>
            <w:vAlign w:val="center"/>
          </w:tcPr>
          <w:p>
            <w:pPr>
              <w:pStyle w:val="16"/>
            </w:pPr>
            <w:r>
              <w:t>本年支出合计</w:t>
            </w:r>
          </w:p>
        </w:tc>
        <w:tc>
          <w:tcPr>
            <w:tcW w:w="2126" w:type="dxa"/>
            <w:vAlign w:val="center"/>
          </w:tcPr>
          <w:p>
            <w:pPr>
              <w:pStyle w:val="17"/>
            </w:pPr>
            <w:r>
              <w:t>7325014.75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7325014.75</w:t>
            </w:r>
          </w:p>
        </w:tc>
        <w:tc>
          <w:tcPr>
            <w:tcW w:w="4535" w:type="dxa"/>
            <w:vAlign w:val="center"/>
          </w:tcPr>
          <w:p>
            <w:pPr>
              <w:pStyle w:val="16"/>
            </w:pPr>
            <w:r>
              <w:t>支出总计</w:t>
            </w:r>
          </w:p>
        </w:tc>
        <w:tc>
          <w:tcPr>
            <w:tcW w:w="2126" w:type="dxa"/>
            <w:vAlign w:val="center"/>
          </w:tcPr>
          <w:p>
            <w:pPr>
              <w:pStyle w:val="17"/>
            </w:pPr>
            <w:r>
              <w:t>7325014.75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101玉田县人民代表大会常务委员会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7325014.75</w:t>
            </w:r>
          </w:p>
        </w:tc>
        <w:tc>
          <w:tcPr>
            <w:tcW w:w="1134" w:type="dxa"/>
            <w:vAlign w:val="center"/>
          </w:tcPr>
          <w:p>
            <w:pPr>
              <w:pStyle w:val="17"/>
            </w:pPr>
            <w:r>
              <w:t>7325014.75</w:t>
            </w:r>
          </w:p>
        </w:tc>
        <w:tc>
          <w:tcPr>
            <w:tcW w:w="1134" w:type="dxa"/>
            <w:vAlign w:val="center"/>
          </w:tcPr>
          <w:p>
            <w:pPr>
              <w:pStyle w:val="17"/>
            </w:pPr>
            <w:r>
              <w:t>7325014.75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7325014.75</w:t>
            </w:r>
          </w:p>
        </w:tc>
        <w:tc>
          <w:tcPr>
            <w:tcW w:w="1134" w:type="dxa"/>
            <w:vAlign w:val="center"/>
          </w:tcPr>
          <w:p>
            <w:pPr>
              <w:pStyle w:val="13"/>
            </w:pPr>
            <w:r>
              <w:t>7325014.75</w:t>
            </w:r>
          </w:p>
        </w:tc>
        <w:tc>
          <w:tcPr>
            <w:tcW w:w="1134" w:type="dxa"/>
            <w:vAlign w:val="center"/>
          </w:tcPr>
          <w:p>
            <w:pPr>
              <w:pStyle w:val="13"/>
            </w:pPr>
            <w:r>
              <w:t>7325014.75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7325014.75</w:t>
            </w:r>
          </w:p>
        </w:tc>
        <w:tc>
          <w:tcPr>
            <w:tcW w:w="1134" w:type="dxa"/>
            <w:vAlign w:val="center"/>
          </w:tcPr>
          <w:p>
            <w:pPr>
              <w:pStyle w:val="13"/>
            </w:pPr>
            <w:r>
              <w:t>7325014.75</w:t>
            </w:r>
          </w:p>
        </w:tc>
        <w:tc>
          <w:tcPr>
            <w:tcW w:w="1134" w:type="dxa"/>
            <w:vAlign w:val="center"/>
          </w:tcPr>
          <w:p>
            <w:pPr>
              <w:pStyle w:val="13"/>
            </w:pPr>
            <w:r>
              <w:t>7325014.75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2010101</w:t>
            </w:r>
          </w:p>
        </w:tc>
        <w:tc>
          <w:tcPr>
            <w:tcW w:w="1559" w:type="dxa"/>
            <w:vAlign w:val="center"/>
          </w:tcPr>
          <w:p>
            <w:pPr>
              <w:pStyle w:val="14"/>
            </w:pPr>
            <w:r>
              <w:t>行政运行</w:t>
            </w:r>
          </w:p>
        </w:tc>
        <w:tc>
          <w:tcPr>
            <w:tcW w:w="1134" w:type="dxa"/>
            <w:vAlign w:val="center"/>
          </w:tcPr>
          <w:p>
            <w:pPr>
              <w:pStyle w:val="13"/>
            </w:pPr>
            <w:r>
              <w:t>6212114.75</w:t>
            </w:r>
          </w:p>
        </w:tc>
        <w:tc>
          <w:tcPr>
            <w:tcW w:w="1134" w:type="dxa"/>
            <w:vAlign w:val="center"/>
          </w:tcPr>
          <w:p>
            <w:pPr>
              <w:pStyle w:val="13"/>
            </w:pPr>
            <w:r>
              <w:t>6212114.75</w:t>
            </w:r>
          </w:p>
        </w:tc>
        <w:tc>
          <w:tcPr>
            <w:tcW w:w="1134" w:type="dxa"/>
            <w:vAlign w:val="center"/>
          </w:tcPr>
          <w:p>
            <w:pPr>
              <w:pStyle w:val="13"/>
            </w:pPr>
            <w:r>
              <w:t>6212114.75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2010104</w:t>
            </w:r>
          </w:p>
        </w:tc>
        <w:tc>
          <w:tcPr>
            <w:tcW w:w="1559" w:type="dxa"/>
            <w:vAlign w:val="center"/>
          </w:tcPr>
          <w:p>
            <w:pPr>
              <w:pStyle w:val="14"/>
            </w:pPr>
            <w:r>
              <w:t>人大会议</w:t>
            </w:r>
          </w:p>
        </w:tc>
        <w:tc>
          <w:tcPr>
            <w:tcW w:w="1134" w:type="dxa"/>
            <w:vAlign w:val="center"/>
          </w:tcPr>
          <w:p>
            <w:pPr>
              <w:pStyle w:val="13"/>
            </w:pPr>
            <w:r>
              <w:t>440000.00</w:t>
            </w:r>
          </w:p>
        </w:tc>
        <w:tc>
          <w:tcPr>
            <w:tcW w:w="1134" w:type="dxa"/>
            <w:vAlign w:val="center"/>
          </w:tcPr>
          <w:p>
            <w:pPr>
              <w:pStyle w:val="13"/>
            </w:pPr>
            <w:r>
              <w:t>440000.00</w:t>
            </w:r>
          </w:p>
        </w:tc>
        <w:tc>
          <w:tcPr>
            <w:tcW w:w="1134" w:type="dxa"/>
            <w:vAlign w:val="center"/>
          </w:tcPr>
          <w:p>
            <w:pPr>
              <w:pStyle w:val="13"/>
            </w:pPr>
            <w:r>
              <w:t>440000.00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2010106</w:t>
            </w:r>
          </w:p>
        </w:tc>
        <w:tc>
          <w:tcPr>
            <w:tcW w:w="1559" w:type="dxa"/>
            <w:vAlign w:val="center"/>
          </w:tcPr>
          <w:p>
            <w:pPr>
              <w:pStyle w:val="14"/>
            </w:pPr>
            <w:r>
              <w:t>人大监督</w:t>
            </w:r>
          </w:p>
        </w:tc>
        <w:tc>
          <w:tcPr>
            <w:tcW w:w="1134" w:type="dxa"/>
            <w:vAlign w:val="center"/>
          </w:tcPr>
          <w:p>
            <w:pPr>
              <w:pStyle w:val="13"/>
            </w:pPr>
            <w:r>
              <w:t>515900.00</w:t>
            </w:r>
          </w:p>
        </w:tc>
        <w:tc>
          <w:tcPr>
            <w:tcW w:w="1134" w:type="dxa"/>
            <w:vAlign w:val="center"/>
          </w:tcPr>
          <w:p>
            <w:pPr>
              <w:pStyle w:val="13"/>
            </w:pPr>
            <w:r>
              <w:t>515900.00</w:t>
            </w:r>
          </w:p>
        </w:tc>
        <w:tc>
          <w:tcPr>
            <w:tcW w:w="1134" w:type="dxa"/>
            <w:vAlign w:val="center"/>
          </w:tcPr>
          <w:p>
            <w:pPr>
              <w:pStyle w:val="13"/>
            </w:pPr>
            <w:r>
              <w:t>515900.00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157000.00</w:t>
            </w:r>
          </w:p>
        </w:tc>
        <w:tc>
          <w:tcPr>
            <w:tcW w:w="1134" w:type="dxa"/>
            <w:vAlign w:val="center"/>
          </w:tcPr>
          <w:p>
            <w:pPr>
              <w:pStyle w:val="13"/>
            </w:pPr>
            <w:r>
              <w:t>157000.00</w:t>
            </w:r>
          </w:p>
        </w:tc>
        <w:tc>
          <w:tcPr>
            <w:tcW w:w="1134" w:type="dxa"/>
            <w:vAlign w:val="center"/>
          </w:tcPr>
          <w:p>
            <w:pPr>
              <w:pStyle w:val="13"/>
            </w:pPr>
            <w:r>
              <w:t>157000.00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101玉田县人民代表大会常务委员会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7325014.75</w:t>
            </w:r>
          </w:p>
        </w:tc>
        <w:tc>
          <w:tcPr>
            <w:tcW w:w="1361" w:type="dxa"/>
            <w:vAlign w:val="center"/>
          </w:tcPr>
          <w:p>
            <w:pPr>
              <w:pStyle w:val="17"/>
            </w:pPr>
            <w:r>
              <w:t>6212114.75</w:t>
            </w:r>
          </w:p>
        </w:tc>
        <w:tc>
          <w:tcPr>
            <w:tcW w:w="1361" w:type="dxa"/>
            <w:vAlign w:val="center"/>
          </w:tcPr>
          <w:p>
            <w:pPr>
              <w:pStyle w:val="17"/>
            </w:pPr>
            <w:r>
              <w:t>1112900.00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7325014.75</w:t>
            </w:r>
          </w:p>
        </w:tc>
        <w:tc>
          <w:tcPr>
            <w:tcW w:w="1361" w:type="dxa"/>
            <w:vAlign w:val="center"/>
          </w:tcPr>
          <w:p>
            <w:pPr>
              <w:pStyle w:val="13"/>
            </w:pPr>
            <w:r>
              <w:t>6212114.75</w:t>
            </w:r>
          </w:p>
        </w:tc>
        <w:tc>
          <w:tcPr>
            <w:tcW w:w="1361" w:type="dxa"/>
            <w:vAlign w:val="center"/>
          </w:tcPr>
          <w:p>
            <w:pPr>
              <w:pStyle w:val="13"/>
            </w:pPr>
            <w:r>
              <w:t>1112900.00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7325014.75</w:t>
            </w:r>
          </w:p>
        </w:tc>
        <w:tc>
          <w:tcPr>
            <w:tcW w:w="1361" w:type="dxa"/>
            <w:vAlign w:val="center"/>
          </w:tcPr>
          <w:p>
            <w:pPr>
              <w:pStyle w:val="13"/>
            </w:pPr>
            <w:r>
              <w:t>6212114.75</w:t>
            </w:r>
          </w:p>
        </w:tc>
        <w:tc>
          <w:tcPr>
            <w:tcW w:w="1361" w:type="dxa"/>
            <w:vAlign w:val="center"/>
          </w:tcPr>
          <w:p>
            <w:pPr>
              <w:pStyle w:val="13"/>
            </w:pPr>
            <w:r>
              <w:t>1112900.00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2010101</w:t>
            </w:r>
          </w:p>
        </w:tc>
        <w:tc>
          <w:tcPr>
            <w:tcW w:w="4535" w:type="dxa"/>
            <w:vAlign w:val="center"/>
          </w:tcPr>
          <w:p>
            <w:pPr>
              <w:pStyle w:val="14"/>
            </w:pPr>
            <w:r>
              <w:t>行政运行</w:t>
            </w:r>
          </w:p>
        </w:tc>
        <w:tc>
          <w:tcPr>
            <w:tcW w:w="1361" w:type="dxa"/>
            <w:vAlign w:val="center"/>
          </w:tcPr>
          <w:p>
            <w:pPr>
              <w:pStyle w:val="13"/>
            </w:pPr>
            <w:r>
              <w:t>6212114.75</w:t>
            </w:r>
          </w:p>
        </w:tc>
        <w:tc>
          <w:tcPr>
            <w:tcW w:w="1361" w:type="dxa"/>
            <w:vAlign w:val="center"/>
          </w:tcPr>
          <w:p>
            <w:pPr>
              <w:pStyle w:val="13"/>
            </w:pPr>
            <w:r>
              <w:t>6212114.75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2010104</w:t>
            </w:r>
          </w:p>
        </w:tc>
        <w:tc>
          <w:tcPr>
            <w:tcW w:w="4535" w:type="dxa"/>
            <w:vAlign w:val="center"/>
          </w:tcPr>
          <w:p>
            <w:pPr>
              <w:pStyle w:val="14"/>
            </w:pPr>
            <w:r>
              <w:t>人大会议</w:t>
            </w:r>
          </w:p>
        </w:tc>
        <w:tc>
          <w:tcPr>
            <w:tcW w:w="1361" w:type="dxa"/>
            <w:vAlign w:val="center"/>
          </w:tcPr>
          <w:p>
            <w:pPr>
              <w:pStyle w:val="13"/>
            </w:pPr>
            <w:r>
              <w:t>440000.00</w:t>
            </w:r>
          </w:p>
        </w:tc>
        <w:tc>
          <w:tcPr>
            <w:tcW w:w="1361" w:type="dxa"/>
            <w:vAlign w:val="center"/>
          </w:tcPr>
          <w:p>
            <w:pPr>
              <w:pStyle w:val="13"/>
            </w:pPr>
          </w:p>
        </w:tc>
        <w:tc>
          <w:tcPr>
            <w:tcW w:w="1361" w:type="dxa"/>
            <w:vAlign w:val="center"/>
          </w:tcPr>
          <w:p>
            <w:pPr>
              <w:pStyle w:val="13"/>
            </w:pPr>
            <w:r>
              <w:t>440000.00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2010106</w:t>
            </w:r>
          </w:p>
        </w:tc>
        <w:tc>
          <w:tcPr>
            <w:tcW w:w="4535" w:type="dxa"/>
            <w:vAlign w:val="center"/>
          </w:tcPr>
          <w:p>
            <w:pPr>
              <w:pStyle w:val="14"/>
            </w:pPr>
            <w:r>
              <w:t>人大监督</w:t>
            </w:r>
          </w:p>
        </w:tc>
        <w:tc>
          <w:tcPr>
            <w:tcW w:w="1361" w:type="dxa"/>
            <w:vAlign w:val="center"/>
          </w:tcPr>
          <w:p>
            <w:pPr>
              <w:pStyle w:val="13"/>
            </w:pPr>
            <w:r>
              <w:t>515900.00</w:t>
            </w:r>
          </w:p>
        </w:tc>
        <w:tc>
          <w:tcPr>
            <w:tcW w:w="1361" w:type="dxa"/>
            <w:vAlign w:val="center"/>
          </w:tcPr>
          <w:p>
            <w:pPr>
              <w:pStyle w:val="13"/>
            </w:pPr>
          </w:p>
        </w:tc>
        <w:tc>
          <w:tcPr>
            <w:tcW w:w="1361" w:type="dxa"/>
            <w:vAlign w:val="center"/>
          </w:tcPr>
          <w:p>
            <w:pPr>
              <w:pStyle w:val="13"/>
            </w:pPr>
            <w:r>
              <w:t>515900.00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2010108</w:t>
            </w:r>
          </w:p>
        </w:tc>
        <w:tc>
          <w:tcPr>
            <w:tcW w:w="4535" w:type="dxa"/>
            <w:vAlign w:val="center"/>
          </w:tcPr>
          <w:p>
            <w:pPr>
              <w:pStyle w:val="14"/>
            </w:pPr>
            <w:r>
              <w:t>代表工作</w:t>
            </w:r>
          </w:p>
        </w:tc>
        <w:tc>
          <w:tcPr>
            <w:tcW w:w="1361" w:type="dxa"/>
            <w:vAlign w:val="center"/>
          </w:tcPr>
          <w:p>
            <w:pPr>
              <w:pStyle w:val="13"/>
            </w:pPr>
            <w:r>
              <w:t>157000.00</w:t>
            </w:r>
          </w:p>
        </w:tc>
        <w:tc>
          <w:tcPr>
            <w:tcW w:w="1361" w:type="dxa"/>
            <w:vAlign w:val="center"/>
          </w:tcPr>
          <w:p>
            <w:pPr>
              <w:pStyle w:val="13"/>
            </w:pPr>
          </w:p>
        </w:tc>
        <w:tc>
          <w:tcPr>
            <w:tcW w:w="1361" w:type="dxa"/>
            <w:vAlign w:val="center"/>
          </w:tcPr>
          <w:p>
            <w:pPr>
              <w:pStyle w:val="13"/>
            </w:pPr>
            <w:r>
              <w:t>157000.00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101玉田县人民代表大会常务委员会</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7325014.75</w:t>
            </w:r>
          </w:p>
        </w:tc>
        <w:tc>
          <w:tcPr>
            <w:tcW w:w="3402" w:type="dxa"/>
            <w:vAlign w:val="center"/>
          </w:tcPr>
          <w:p>
            <w:pPr>
              <w:pStyle w:val="14"/>
            </w:pPr>
            <w:r>
              <w:t>一、一般公共服务支出</w:t>
            </w:r>
          </w:p>
        </w:tc>
        <w:tc>
          <w:tcPr>
            <w:tcW w:w="1474" w:type="dxa"/>
            <w:vAlign w:val="center"/>
          </w:tcPr>
          <w:p>
            <w:pPr>
              <w:pStyle w:val="13"/>
            </w:pPr>
            <w:r>
              <w:t>7325014.75</w:t>
            </w:r>
          </w:p>
        </w:tc>
        <w:tc>
          <w:tcPr>
            <w:tcW w:w="1474" w:type="dxa"/>
            <w:vAlign w:val="center"/>
          </w:tcPr>
          <w:p>
            <w:pPr>
              <w:pStyle w:val="13"/>
            </w:pPr>
            <w:r>
              <w:t>7325014.75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7325014.75</w:t>
            </w:r>
          </w:p>
        </w:tc>
        <w:tc>
          <w:tcPr>
            <w:tcW w:w="3402" w:type="dxa"/>
            <w:vAlign w:val="center"/>
          </w:tcPr>
          <w:p>
            <w:pPr>
              <w:pStyle w:val="16"/>
            </w:pPr>
            <w:r>
              <w:t>本年支出合计</w:t>
            </w:r>
          </w:p>
        </w:tc>
        <w:tc>
          <w:tcPr>
            <w:tcW w:w="1474" w:type="dxa"/>
            <w:vAlign w:val="center"/>
          </w:tcPr>
          <w:p>
            <w:pPr>
              <w:pStyle w:val="17"/>
            </w:pPr>
            <w:r>
              <w:t>7325014.75</w:t>
            </w:r>
          </w:p>
        </w:tc>
        <w:tc>
          <w:tcPr>
            <w:tcW w:w="1474" w:type="dxa"/>
            <w:vAlign w:val="center"/>
          </w:tcPr>
          <w:p>
            <w:pPr>
              <w:pStyle w:val="17"/>
            </w:pPr>
            <w:r>
              <w:t>7325014.75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7325014.75</w:t>
            </w:r>
          </w:p>
        </w:tc>
        <w:tc>
          <w:tcPr>
            <w:tcW w:w="3402" w:type="dxa"/>
            <w:vAlign w:val="center"/>
          </w:tcPr>
          <w:p>
            <w:pPr>
              <w:pStyle w:val="16"/>
            </w:pPr>
            <w:r>
              <w:t>支出总计</w:t>
            </w:r>
          </w:p>
        </w:tc>
        <w:tc>
          <w:tcPr>
            <w:tcW w:w="1474" w:type="dxa"/>
            <w:vAlign w:val="center"/>
          </w:tcPr>
          <w:p>
            <w:pPr>
              <w:pStyle w:val="17"/>
            </w:pPr>
            <w:r>
              <w:t>7325014.75</w:t>
            </w:r>
          </w:p>
        </w:tc>
        <w:tc>
          <w:tcPr>
            <w:tcW w:w="1474" w:type="dxa"/>
            <w:vAlign w:val="center"/>
          </w:tcPr>
          <w:p>
            <w:pPr>
              <w:pStyle w:val="17"/>
            </w:pPr>
            <w:r>
              <w:t>7325014.75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101玉田县人民代表大会常务委员会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7325014.75</w:t>
            </w:r>
          </w:p>
        </w:tc>
        <w:tc>
          <w:tcPr>
            <w:tcW w:w="2551" w:type="dxa"/>
            <w:vAlign w:val="center"/>
          </w:tcPr>
          <w:p>
            <w:pPr>
              <w:pStyle w:val="17"/>
            </w:pPr>
            <w:r>
              <w:t>6212114.75</w:t>
            </w:r>
          </w:p>
        </w:tc>
        <w:tc>
          <w:tcPr>
            <w:tcW w:w="2551" w:type="dxa"/>
            <w:vAlign w:val="center"/>
          </w:tcPr>
          <w:p>
            <w:pPr>
              <w:pStyle w:val="17"/>
            </w:pPr>
            <w:r>
              <w:t>1112900.00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7325014.75</w:t>
            </w:r>
          </w:p>
        </w:tc>
        <w:tc>
          <w:tcPr>
            <w:tcW w:w="2551" w:type="dxa"/>
            <w:vAlign w:val="center"/>
          </w:tcPr>
          <w:p>
            <w:pPr>
              <w:pStyle w:val="13"/>
            </w:pPr>
            <w:r>
              <w:t>6212114.75</w:t>
            </w:r>
          </w:p>
        </w:tc>
        <w:tc>
          <w:tcPr>
            <w:tcW w:w="2551" w:type="dxa"/>
            <w:vAlign w:val="center"/>
          </w:tcPr>
          <w:p>
            <w:pPr>
              <w:pStyle w:val="13"/>
            </w:pPr>
            <w:r>
              <w:t>1112900.00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7325014.75</w:t>
            </w:r>
          </w:p>
        </w:tc>
        <w:tc>
          <w:tcPr>
            <w:tcW w:w="2551" w:type="dxa"/>
            <w:vAlign w:val="center"/>
          </w:tcPr>
          <w:p>
            <w:pPr>
              <w:pStyle w:val="13"/>
            </w:pPr>
            <w:r>
              <w:t>6212114.75</w:t>
            </w:r>
          </w:p>
        </w:tc>
        <w:tc>
          <w:tcPr>
            <w:tcW w:w="2551" w:type="dxa"/>
            <w:vAlign w:val="center"/>
          </w:tcPr>
          <w:p>
            <w:pPr>
              <w:pStyle w:val="13"/>
            </w:pPr>
            <w:r>
              <w:t>1112900.00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2010101</w:t>
            </w:r>
          </w:p>
        </w:tc>
        <w:tc>
          <w:tcPr>
            <w:tcW w:w="4535" w:type="dxa"/>
            <w:vAlign w:val="center"/>
          </w:tcPr>
          <w:p>
            <w:pPr>
              <w:pStyle w:val="14"/>
            </w:pPr>
            <w:r>
              <w:t>行政运行</w:t>
            </w:r>
          </w:p>
        </w:tc>
        <w:tc>
          <w:tcPr>
            <w:tcW w:w="2551" w:type="dxa"/>
            <w:vAlign w:val="center"/>
          </w:tcPr>
          <w:p>
            <w:pPr>
              <w:pStyle w:val="13"/>
            </w:pPr>
            <w:r>
              <w:t>6212114.75</w:t>
            </w:r>
          </w:p>
        </w:tc>
        <w:tc>
          <w:tcPr>
            <w:tcW w:w="2551" w:type="dxa"/>
            <w:vAlign w:val="center"/>
          </w:tcPr>
          <w:p>
            <w:pPr>
              <w:pStyle w:val="13"/>
            </w:pPr>
            <w:r>
              <w:t>6212114.75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2010104</w:t>
            </w:r>
          </w:p>
        </w:tc>
        <w:tc>
          <w:tcPr>
            <w:tcW w:w="4535" w:type="dxa"/>
            <w:vAlign w:val="center"/>
          </w:tcPr>
          <w:p>
            <w:pPr>
              <w:pStyle w:val="14"/>
            </w:pPr>
            <w:r>
              <w:t>人大会议</w:t>
            </w:r>
          </w:p>
        </w:tc>
        <w:tc>
          <w:tcPr>
            <w:tcW w:w="2551" w:type="dxa"/>
            <w:vAlign w:val="center"/>
          </w:tcPr>
          <w:p>
            <w:pPr>
              <w:pStyle w:val="13"/>
            </w:pPr>
            <w:r>
              <w:t>440000.00</w:t>
            </w:r>
          </w:p>
        </w:tc>
        <w:tc>
          <w:tcPr>
            <w:tcW w:w="2551" w:type="dxa"/>
            <w:vAlign w:val="center"/>
          </w:tcPr>
          <w:p>
            <w:pPr>
              <w:pStyle w:val="13"/>
            </w:pPr>
          </w:p>
        </w:tc>
        <w:tc>
          <w:tcPr>
            <w:tcW w:w="2551" w:type="dxa"/>
            <w:vAlign w:val="center"/>
          </w:tcPr>
          <w:p>
            <w:pPr>
              <w:pStyle w:val="13"/>
            </w:pPr>
            <w:r>
              <w:t>440000.00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2010106</w:t>
            </w:r>
          </w:p>
        </w:tc>
        <w:tc>
          <w:tcPr>
            <w:tcW w:w="4535" w:type="dxa"/>
            <w:vAlign w:val="center"/>
          </w:tcPr>
          <w:p>
            <w:pPr>
              <w:pStyle w:val="14"/>
            </w:pPr>
            <w:r>
              <w:t>人大监督</w:t>
            </w:r>
          </w:p>
        </w:tc>
        <w:tc>
          <w:tcPr>
            <w:tcW w:w="2551" w:type="dxa"/>
            <w:vAlign w:val="center"/>
          </w:tcPr>
          <w:p>
            <w:pPr>
              <w:pStyle w:val="13"/>
            </w:pPr>
            <w:r>
              <w:t>515900.00</w:t>
            </w:r>
          </w:p>
        </w:tc>
        <w:tc>
          <w:tcPr>
            <w:tcW w:w="2551" w:type="dxa"/>
            <w:vAlign w:val="center"/>
          </w:tcPr>
          <w:p>
            <w:pPr>
              <w:pStyle w:val="13"/>
            </w:pPr>
          </w:p>
        </w:tc>
        <w:tc>
          <w:tcPr>
            <w:tcW w:w="2551" w:type="dxa"/>
            <w:vAlign w:val="center"/>
          </w:tcPr>
          <w:p>
            <w:pPr>
              <w:pStyle w:val="13"/>
            </w:pPr>
            <w:r>
              <w:t>515900.00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2010108</w:t>
            </w:r>
          </w:p>
        </w:tc>
        <w:tc>
          <w:tcPr>
            <w:tcW w:w="4535" w:type="dxa"/>
            <w:vAlign w:val="center"/>
          </w:tcPr>
          <w:p>
            <w:pPr>
              <w:pStyle w:val="14"/>
            </w:pPr>
            <w:r>
              <w:t>代表工作</w:t>
            </w:r>
          </w:p>
        </w:tc>
        <w:tc>
          <w:tcPr>
            <w:tcW w:w="2551" w:type="dxa"/>
            <w:vAlign w:val="center"/>
          </w:tcPr>
          <w:p>
            <w:pPr>
              <w:pStyle w:val="13"/>
            </w:pPr>
            <w:r>
              <w:t>157000.00</w:t>
            </w:r>
          </w:p>
        </w:tc>
        <w:tc>
          <w:tcPr>
            <w:tcW w:w="2551" w:type="dxa"/>
            <w:vAlign w:val="center"/>
          </w:tcPr>
          <w:p>
            <w:pPr>
              <w:pStyle w:val="13"/>
            </w:pPr>
          </w:p>
        </w:tc>
        <w:tc>
          <w:tcPr>
            <w:tcW w:w="2551" w:type="dxa"/>
            <w:vAlign w:val="center"/>
          </w:tcPr>
          <w:p>
            <w:pPr>
              <w:pStyle w:val="13"/>
            </w:pPr>
            <w:r>
              <w:t>157000.00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101玉田县人民代表大会常务委员会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6212114.75</w:t>
            </w:r>
          </w:p>
        </w:tc>
        <w:tc>
          <w:tcPr>
            <w:tcW w:w="2551" w:type="dxa"/>
            <w:vAlign w:val="center"/>
          </w:tcPr>
          <w:p>
            <w:pPr>
              <w:pStyle w:val="17"/>
            </w:pPr>
            <w:r>
              <w:t>5090968.17</w:t>
            </w:r>
          </w:p>
        </w:tc>
        <w:tc>
          <w:tcPr>
            <w:tcW w:w="2551" w:type="dxa"/>
            <w:vAlign w:val="center"/>
          </w:tcPr>
          <w:p>
            <w:pPr>
              <w:pStyle w:val="17"/>
            </w:pPr>
            <w:r>
              <w:t>1121146.58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4965808.17</w:t>
            </w:r>
          </w:p>
        </w:tc>
        <w:tc>
          <w:tcPr>
            <w:tcW w:w="2551" w:type="dxa"/>
            <w:vAlign w:val="center"/>
          </w:tcPr>
          <w:p>
            <w:pPr>
              <w:pStyle w:val="13"/>
            </w:pPr>
            <w:r>
              <w:t>4965808.17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1154335.11</w:t>
            </w:r>
          </w:p>
        </w:tc>
        <w:tc>
          <w:tcPr>
            <w:tcW w:w="2551" w:type="dxa"/>
            <w:vAlign w:val="center"/>
          </w:tcPr>
          <w:p>
            <w:pPr>
              <w:pStyle w:val="13"/>
            </w:pPr>
            <w:r>
              <w:t>1154335.11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1194360.00</w:t>
            </w:r>
          </w:p>
        </w:tc>
        <w:tc>
          <w:tcPr>
            <w:tcW w:w="2551" w:type="dxa"/>
            <w:vAlign w:val="center"/>
          </w:tcPr>
          <w:p>
            <w:pPr>
              <w:pStyle w:val="13"/>
            </w:pPr>
            <w:r>
              <w:t>1194360.00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154751.00</w:t>
            </w:r>
          </w:p>
        </w:tc>
        <w:tc>
          <w:tcPr>
            <w:tcW w:w="2551" w:type="dxa"/>
            <w:vAlign w:val="center"/>
          </w:tcPr>
          <w:p>
            <w:pPr>
              <w:pStyle w:val="13"/>
            </w:pPr>
            <w:r>
              <w:t>154751.00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119142.86</w:t>
            </w:r>
          </w:p>
        </w:tc>
        <w:tc>
          <w:tcPr>
            <w:tcW w:w="2551" w:type="dxa"/>
            <w:vAlign w:val="center"/>
          </w:tcPr>
          <w:p>
            <w:pPr>
              <w:pStyle w:val="13"/>
            </w:pPr>
            <w:r>
              <w:t>119142.86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511037.74</w:t>
            </w:r>
          </w:p>
        </w:tc>
        <w:tc>
          <w:tcPr>
            <w:tcW w:w="2551" w:type="dxa"/>
            <w:vAlign w:val="center"/>
          </w:tcPr>
          <w:p>
            <w:pPr>
              <w:pStyle w:val="13"/>
            </w:pPr>
            <w:r>
              <w:t>511037.74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487082.84</w:t>
            </w:r>
          </w:p>
        </w:tc>
        <w:tc>
          <w:tcPr>
            <w:tcW w:w="2551" w:type="dxa"/>
            <w:vAlign w:val="center"/>
          </w:tcPr>
          <w:p>
            <w:pPr>
              <w:pStyle w:val="13"/>
            </w:pPr>
            <w:r>
              <w:t>487082.84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961820.32</w:t>
            </w:r>
          </w:p>
        </w:tc>
        <w:tc>
          <w:tcPr>
            <w:tcW w:w="2551" w:type="dxa"/>
            <w:vAlign w:val="center"/>
          </w:tcPr>
          <w:p>
            <w:pPr>
              <w:pStyle w:val="13"/>
            </w:pPr>
            <w:r>
              <w:t>961820.32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383278.30</w:t>
            </w:r>
          </w:p>
        </w:tc>
        <w:tc>
          <w:tcPr>
            <w:tcW w:w="2551" w:type="dxa"/>
            <w:vAlign w:val="center"/>
          </w:tcPr>
          <w:p>
            <w:pPr>
              <w:pStyle w:val="13"/>
            </w:pPr>
            <w:r>
              <w:t>383278.30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1121146.58</w:t>
            </w:r>
          </w:p>
        </w:tc>
        <w:tc>
          <w:tcPr>
            <w:tcW w:w="2551" w:type="dxa"/>
            <w:vAlign w:val="center"/>
          </w:tcPr>
          <w:p>
            <w:pPr>
              <w:pStyle w:val="13"/>
            </w:pPr>
          </w:p>
        </w:tc>
        <w:tc>
          <w:tcPr>
            <w:tcW w:w="2551" w:type="dxa"/>
            <w:vAlign w:val="center"/>
          </w:tcPr>
          <w:p>
            <w:pPr>
              <w:pStyle w:val="13"/>
            </w:pPr>
            <w:r>
              <w:t>1121146.58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29400.00</w:t>
            </w:r>
          </w:p>
        </w:tc>
        <w:tc>
          <w:tcPr>
            <w:tcW w:w="2551" w:type="dxa"/>
            <w:vAlign w:val="center"/>
          </w:tcPr>
          <w:p>
            <w:pPr>
              <w:pStyle w:val="13"/>
            </w:pPr>
          </w:p>
        </w:tc>
        <w:tc>
          <w:tcPr>
            <w:tcW w:w="2551" w:type="dxa"/>
            <w:vAlign w:val="center"/>
          </w:tcPr>
          <w:p>
            <w:pPr>
              <w:pStyle w:val="13"/>
            </w:pPr>
            <w:r>
              <w:t>29400.00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81228.00</w:t>
            </w:r>
          </w:p>
        </w:tc>
        <w:tc>
          <w:tcPr>
            <w:tcW w:w="2551" w:type="dxa"/>
            <w:vAlign w:val="center"/>
          </w:tcPr>
          <w:p>
            <w:pPr>
              <w:pStyle w:val="13"/>
            </w:pPr>
          </w:p>
        </w:tc>
        <w:tc>
          <w:tcPr>
            <w:tcW w:w="2551" w:type="dxa"/>
            <w:vAlign w:val="center"/>
          </w:tcPr>
          <w:p>
            <w:pPr>
              <w:pStyle w:val="13"/>
            </w:pPr>
            <w:r>
              <w:t>81228.00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42000.00</w:t>
            </w:r>
          </w:p>
        </w:tc>
        <w:tc>
          <w:tcPr>
            <w:tcW w:w="2551" w:type="dxa"/>
            <w:vAlign w:val="center"/>
          </w:tcPr>
          <w:p>
            <w:pPr>
              <w:pStyle w:val="13"/>
            </w:pPr>
          </w:p>
        </w:tc>
        <w:tc>
          <w:tcPr>
            <w:tcW w:w="2551" w:type="dxa"/>
            <w:vAlign w:val="center"/>
          </w:tcPr>
          <w:p>
            <w:pPr>
              <w:pStyle w:val="13"/>
            </w:pPr>
            <w:r>
              <w:t>42000.00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20400.00</w:t>
            </w:r>
          </w:p>
        </w:tc>
        <w:tc>
          <w:tcPr>
            <w:tcW w:w="2551" w:type="dxa"/>
            <w:vAlign w:val="center"/>
          </w:tcPr>
          <w:p>
            <w:pPr>
              <w:pStyle w:val="13"/>
            </w:pPr>
          </w:p>
        </w:tc>
        <w:tc>
          <w:tcPr>
            <w:tcW w:w="2551" w:type="dxa"/>
            <w:vAlign w:val="center"/>
          </w:tcPr>
          <w:p>
            <w:pPr>
              <w:pStyle w:val="13"/>
            </w:pPr>
            <w:r>
              <w:t>20400.00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2100.00</w:t>
            </w:r>
          </w:p>
        </w:tc>
        <w:tc>
          <w:tcPr>
            <w:tcW w:w="2551" w:type="dxa"/>
            <w:vAlign w:val="center"/>
          </w:tcPr>
          <w:p>
            <w:pPr>
              <w:pStyle w:val="13"/>
            </w:pPr>
          </w:p>
        </w:tc>
        <w:tc>
          <w:tcPr>
            <w:tcW w:w="2551" w:type="dxa"/>
            <w:vAlign w:val="center"/>
          </w:tcPr>
          <w:p>
            <w:pPr>
              <w:pStyle w:val="13"/>
            </w:pPr>
            <w:r>
              <w:t>2100.00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45141.88</w:t>
            </w:r>
          </w:p>
        </w:tc>
        <w:tc>
          <w:tcPr>
            <w:tcW w:w="2551" w:type="dxa"/>
            <w:vAlign w:val="center"/>
          </w:tcPr>
          <w:p>
            <w:pPr>
              <w:pStyle w:val="13"/>
            </w:pPr>
          </w:p>
        </w:tc>
        <w:tc>
          <w:tcPr>
            <w:tcW w:w="2551" w:type="dxa"/>
            <w:vAlign w:val="center"/>
          </w:tcPr>
          <w:p>
            <w:pPr>
              <w:pStyle w:val="13"/>
            </w:pPr>
            <w:r>
              <w:t>45141.88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81505.71</w:t>
            </w:r>
          </w:p>
        </w:tc>
        <w:tc>
          <w:tcPr>
            <w:tcW w:w="2551" w:type="dxa"/>
            <w:vAlign w:val="center"/>
          </w:tcPr>
          <w:p>
            <w:pPr>
              <w:pStyle w:val="13"/>
            </w:pPr>
          </w:p>
        </w:tc>
        <w:tc>
          <w:tcPr>
            <w:tcW w:w="2551" w:type="dxa"/>
            <w:vAlign w:val="center"/>
          </w:tcPr>
          <w:p>
            <w:pPr>
              <w:pStyle w:val="13"/>
            </w:pPr>
            <w:r>
              <w:t>81505.71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203000.00</w:t>
            </w:r>
          </w:p>
        </w:tc>
        <w:tc>
          <w:tcPr>
            <w:tcW w:w="2551" w:type="dxa"/>
            <w:vAlign w:val="center"/>
          </w:tcPr>
          <w:p>
            <w:pPr>
              <w:pStyle w:val="13"/>
            </w:pPr>
          </w:p>
        </w:tc>
        <w:tc>
          <w:tcPr>
            <w:tcW w:w="2551" w:type="dxa"/>
            <w:vAlign w:val="center"/>
          </w:tcPr>
          <w:p>
            <w:pPr>
              <w:pStyle w:val="13"/>
            </w:pPr>
            <w:r>
              <w:t>203000.00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272760.00</w:t>
            </w:r>
          </w:p>
        </w:tc>
        <w:tc>
          <w:tcPr>
            <w:tcW w:w="2551" w:type="dxa"/>
            <w:vAlign w:val="center"/>
          </w:tcPr>
          <w:p>
            <w:pPr>
              <w:pStyle w:val="13"/>
            </w:pPr>
          </w:p>
        </w:tc>
        <w:tc>
          <w:tcPr>
            <w:tcW w:w="2551" w:type="dxa"/>
            <w:vAlign w:val="center"/>
          </w:tcPr>
          <w:p>
            <w:pPr>
              <w:pStyle w:val="13"/>
            </w:pPr>
            <w:r>
              <w:t>272760.00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83610.99</w:t>
            </w:r>
          </w:p>
        </w:tc>
        <w:tc>
          <w:tcPr>
            <w:tcW w:w="2551" w:type="dxa"/>
            <w:vAlign w:val="center"/>
          </w:tcPr>
          <w:p>
            <w:pPr>
              <w:pStyle w:val="13"/>
            </w:pPr>
          </w:p>
        </w:tc>
        <w:tc>
          <w:tcPr>
            <w:tcW w:w="2551" w:type="dxa"/>
            <w:vAlign w:val="center"/>
          </w:tcPr>
          <w:p>
            <w:pPr>
              <w:pStyle w:val="13"/>
            </w:pPr>
            <w:r>
              <w:t>83610.99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125160.00</w:t>
            </w:r>
          </w:p>
        </w:tc>
        <w:tc>
          <w:tcPr>
            <w:tcW w:w="2551" w:type="dxa"/>
            <w:vAlign w:val="center"/>
          </w:tcPr>
          <w:p>
            <w:pPr>
              <w:pStyle w:val="13"/>
            </w:pPr>
            <w:r>
              <w:t>125160.00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96000.00</w:t>
            </w:r>
          </w:p>
        </w:tc>
        <w:tc>
          <w:tcPr>
            <w:tcW w:w="2551" w:type="dxa"/>
            <w:vAlign w:val="center"/>
          </w:tcPr>
          <w:p>
            <w:pPr>
              <w:pStyle w:val="13"/>
            </w:pPr>
            <w:r>
              <w:t>96000.00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28800.00</w:t>
            </w:r>
          </w:p>
        </w:tc>
        <w:tc>
          <w:tcPr>
            <w:tcW w:w="2551" w:type="dxa"/>
            <w:vAlign w:val="center"/>
          </w:tcPr>
          <w:p>
            <w:pPr>
              <w:pStyle w:val="13"/>
            </w:pPr>
            <w:r>
              <w:t>28800.00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360.00</w:t>
            </w:r>
          </w:p>
        </w:tc>
        <w:tc>
          <w:tcPr>
            <w:tcW w:w="2551" w:type="dxa"/>
            <w:vAlign w:val="center"/>
          </w:tcPr>
          <w:p>
            <w:pPr>
              <w:pStyle w:val="13"/>
            </w:pPr>
            <w:r>
              <w:t>360.00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101玉田县人民代表大会常务委员会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101玉田县人民代表大会常务委员会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0"/>
        <w:gridCol w:w="2520"/>
        <w:gridCol w:w="1199"/>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101玉田县人民代表大会常务委员会</w:t>
            </w:r>
          </w:p>
        </w:tc>
        <w:tc>
          <w:tcPr>
            <w:tcW w:w="1643" w:type="dxa"/>
            <w:tcBorders>
              <w:top w:val="single" w:color="FFFFFF" w:sz="6" w:space="0"/>
              <w:left w:val="single" w:color="FFFFFF" w:sz="6" w:space="0"/>
              <w:right w:val="single" w:color="FFFFFF" w:sz="6" w:space="0"/>
            </w:tcBorders>
            <w:vAlign w:val="center"/>
          </w:tcPr>
          <w:p>
            <w:pPr>
              <w:pStyle w:val="10"/>
            </w:pPr>
            <w:r>
              <w:t>预算年度</w:t>
            </w:r>
            <w:r>
              <w:rPr>
                <w:rFonts w:hint="eastAsia"/>
                <w:lang w:val="en-US" w:eastAsia="zh-CN"/>
              </w:rPr>
              <w:t>:</w:t>
            </w:r>
            <w:r>
              <w:t>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0" w:type="dxa"/>
            <w:vMerge w:val="restart"/>
            <w:vAlign w:val="center"/>
          </w:tcPr>
          <w:p>
            <w:pPr>
              <w:pStyle w:val="12"/>
            </w:pPr>
            <w:r>
              <w:t>序号</w:t>
            </w:r>
          </w:p>
        </w:tc>
        <w:tc>
          <w:tcPr>
            <w:tcW w:w="2520" w:type="dxa"/>
            <w:vMerge w:val="restart"/>
            <w:vAlign w:val="center"/>
          </w:tcPr>
          <w:p>
            <w:pPr>
              <w:pStyle w:val="12"/>
            </w:pPr>
            <w:r>
              <w:t>项  目</w:t>
            </w:r>
          </w:p>
        </w:tc>
        <w:tc>
          <w:tcPr>
            <w:tcW w:w="6128"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10" w:type="dxa"/>
            <w:vMerge w:val="continue"/>
          </w:tcPr>
          <w:p/>
        </w:tc>
        <w:tc>
          <w:tcPr>
            <w:tcW w:w="2520" w:type="dxa"/>
            <w:vMerge w:val="continue"/>
          </w:tcPr>
          <w:p/>
        </w:tc>
        <w:tc>
          <w:tcPr>
            <w:tcW w:w="1199"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10" w:type="dxa"/>
            <w:vAlign w:val="center"/>
          </w:tcPr>
          <w:p>
            <w:pPr>
              <w:pStyle w:val="12"/>
            </w:pPr>
            <w:r>
              <w:t>栏次</w:t>
            </w:r>
          </w:p>
        </w:tc>
        <w:tc>
          <w:tcPr>
            <w:tcW w:w="2520" w:type="dxa"/>
            <w:vAlign w:val="center"/>
          </w:tcPr>
          <w:p>
            <w:pPr>
              <w:pStyle w:val="12"/>
            </w:pPr>
            <w:r>
              <w:t>1</w:t>
            </w:r>
          </w:p>
        </w:tc>
        <w:tc>
          <w:tcPr>
            <w:tcW w:w="1199"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0" w:type="dxa"/>
            <w:vAlign w:val="center"/>
          </w:tcPr>
          <w:p>
            <w:pPr>
              <w:pStyle w:val="15"/>
              <w:rPr>
                <w:rFonts w:hint="eastAsia" w:eastAsia="方正书宋_GBK"/>
                <w:lang w:val="en-US" w:eastAsia="zh-CN"/>
              </w:rPr>
            </w:pPr>
          </w:p>
        </w:tc>
        <w:tc>
          <w:tcPr>
            <w:tcW w:w="2520" w:type="dxa"/>
            <w:vAlign w:val="center"/>
          </w:tcPr>
          <w:p>
            <w:pPr>
              <w:pStyle w:val="14"/>
              <w:rPr>
                <w:rFonts w:hint="default" w:eastAsia="方正书宋_GBK"/>
                <w:lang w:val="en-US" w:eastAsia="zh-CN"/>
              </w:rPr>
            </w:pPr>
            <w:r>
              <w:rPr>
                <w:rFonts w:hint="eastAsia"/>
                <w:lang w:val="en-US" w:eastAsia="zh-CN"/>
              </w:rPr>
              <w:t>“三公”经费小计</w:t>
            </w:r>
          </w:p>
        </w:tc>
        <w:tc>
          <w:tcPr>
            <w:tcW w:w="1199" w:type="dxa"/>
            <w:vAlign w:val="center"/>
          </w:tcPr>
          <w:p>
            <w:pPr>
              <w:pStyle w:val="13"/>
              <w:jc w:val="center"/>
              <w:rPr>
                <w:rFonts w:hint="default" w:eastAsia="方正书宋_GBK"/>
                <w:lang w:val="en-US" w:eastAsia="zh-CN"/>
              </w:rPr>
            </w:pPr>
            <w:r>
              <w:rPr>
                <w:rFonts w:hint="eastAsia"/>
                <w:lang w:val="en-US" w:eastAsia="zh-CN"/>
              </w:rPr>
              <w:t>403000</w:t>
            </w:r>
          </w:p>
        </w:tc>
        <w:tc>
          <w:tcPr>
            <w:tcW w:w="1643" w:type="dxa"/>
            <w:vAlign w:val="center"/>
          </w:tcPr>
          <w:p>
            <w:pPr>
              <w:pStyle w:val="13"/>
              <w:rPr>
                <w:rFonts w:hint="default" w:eastAsia="方正书宋_GBK"/>
                <w:lang w:val="en-US" w:eastAsia="zh-CN"/>
              </w:rPr>
            </w:pPr>
            <w:r>
              <w:rPr>
                <w:rFonts w:hint="eastAsia"/>
                <w:lang w:val="en-US" w:eastAsia="zh-CN"/>
              </w:rPr>
              <w:t>403000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0" w:type="dxa"/>
            <w:vAlign w:val="center"/>
          </w:tcPr>
          <w:p>
            <w:pPr>
              <w:pStyle w:val="15"/>
              <w:rPr>
                <w:rFonts w:hint="eastAsia" w:eastAsia="方正书宋_GBK"/>
                <w:lang w:val="en-US" w:eastAsia="zh-CN"/>
              </w:rPr>
            </w:pPr>
          </w:p>
        </w:tc>
        <w:tc>
          <w:tcPr>
            <w:tcW w:w="2520" w:type="dxa"/>
            <w:vAlign w:val="center"/>
          </w:tcPr>
          <w:p>
            <w:pPr>
              <w:pStyle w:val="14"/>
              <w:rPr>
                <w:rFonts w:hint="eastAsia" w:eastAsia="方正书宋_GBK"/>
                <w:lang w:eastAsia="zh-CN"/>
              </w:rPr>
            </w:pPr>
            <w:r>
              <w:rPr>
                <w:rFonts w:hint="eastAsia"/>
                <w:lang w:eastAsia="zh-CN"/>
              </w:rPr>
              <w:t>一、因公出国（境）费</w:t>
            </w:r>
          </w:p>
        </w:tc>
        <w:tc>
          <w:tcPr>
            <w:tcW w:w="1199" w:type="dxa"/>
            <w:vAlign w:val="center"/>
          </w:tcPr>
          <w:p>
            <w:pPr>
              <w:pStyle w:val="13"/>
              <w:jc w:val="center"/>
              <w:rPr>
                <w:rFonts w:hint="default" w:eastAsia="方正书宋_GBK"/>
                <w:lang w:val="en-US" w:eastAsia="zh-CN"/>
              </w:rPr>
            </w:pPr>
          </w:p>
        </w:tc>
        <w:tc>
          <w:tcPr>
            <w:tcW w:w="1643" w:type="dxa"/>
            <w:vAlign w:val="center"/>
          </w:tcPr>
          <w:p>
            <w:pPr>
              <w:pStyle w:val="13"/>
              <w:jc w:val="center"/>
              <w:rPr>
                <w:rFonts w:hint="default" w:eastAsia="方正书宋_GBK"/>
                <w:lang w:val="en-US" w:eastAsia="zh-CN"/>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1210" w:type="dxa"/>
            <w:vAlign w:val="center"/>
          </w:tcPr>
          <w:p>
            <w:pPr>
              <w:pStyle w:val="15"/>
              <w:rPr>
                <w:rFonts w:hint="eastAsia" w:eastAsia="方正书宋_GBK"/>
                <w:lang w:val="en-US" w:eastAsia="zh-CN"/>
              </w:rPr>
            </w:pPr>
          </w:p>
        </w:tc>
        <w:tc>
          <w:tcPr>
            <w:tcW w:w="2520" w:type="dxa"/>
            <w:vAlign w:val="center"/>
          </w:tcPr>
          <w:p>
            <w:pPr>
              <w:pStyle w:val="14"/>
              <w:rPr>
                <w:rFonts w:hint="eastAsia" w:eastAsia="方正书宋_GBK"/>
                <w:lang w:eastAsia="zh-CN"/>
              </w:rPr>
            </w:pPr>
            <w:r>
              <w:rPr>
                <w:rFonts w:hint="eastAsia"/>
                <w:lang w:eastAsia="zh-CN"/>
              </w:rPr>
              <w:t>其中：教学科研人员因公出国（境）费</w:t>
            </w:r>
          </w:p>
        </w:tc>
        <w:tc>
          <w:tcPr>
            <w:tcW w:w="1199" w:type="dxa"/>
            <w:vAlign w:val="center"/>
          </w:tcPr>
          <w:p>
            <w:pPr>
              <w:pStyle w:val="13"/>
              <w:jc w:val="center"/>
              <w:rPr>
                <w:rFonts w:hint="default" w:eastAsia="方正书宋_GBK"/>
                <w:lang w:val="en-US" w:eastAsia="zh-CN"/>
              </w:rPr>
            </w:pPr>
          </w:p>
        </w:tc>
        <w:tc>
          <w:tcPr>
            <w:tcW w:w="1643" w:type="dxa"/>
            <w:vAlign w:val="center"/>
          </w:tcPr>
          <w:p>
            <w:pPr>
              <w:pStyle w:val="13"/>
              <w:jc w:val="center"/>
              <w:rPr>
                <w:rFonts w:hint="default" w:eastAsia="方正书宋_GBK"/>
                <w:lang w:val="en-US" w:eastAsia="zh-CN"/>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0" w:type="dxa"/>
            <w:vAlign w:val="center"/>
          </w:tcPr>
          <w:p>
            <w:pPr>
              <w:pStyle w:val="15"/>
              <w:rPr>
                <w:rFonts w:hint="eastAsia"/>
                <w:lang w:val="en-US" w:eastAsia="zh-CN"/>
              </w:rPr>
            </w:pPr>
          </w:p>
        </w:tc>
        <w:tc>
          <w:tcPr>
            <w:tcW w:w="2520" w:type="dxa"/>
            <w:vAlign w:val="center"/>
          </w:tcPr>
          <w:p>
            <w:pPr>
              <w:pStyle w:val="14"/>
              <w:rPr>
                <w:rFonts w:hint="eastAsia" w:eastAsia="方正书宋_GBK"/>
                <w:lang w:eastAsia="zh-CN"/>
              </w:rPr>
            </w:pPr>
            <w:r>
              <w:rPr>
                <w:rFonts w:hint="eastAsia"/>
                <w:lang w:eastAsia="zh-CN"/>
              </w:rPr>
              <w:t>其他因公出国（境）费</w:t>
            </w:r>
          </w:p>
        </w:tc>
        <w:tc>
          <w:tcPr>
            <w:tcW w:w="1199" w:type="dxa"/>
            <w:vAlign w:val="center"/>
          </w:tcPr>
          <w:p>
            <w:pPr>
              <w:bidi w:val="0"/>
              <w:jc w:val="center"/>
              <w:rPr>
                <w:rFonts w:hint="default" w:eastAsia="宋体"/>
                <w:lang w:val="en-US" w:eastAsia="zh-CN"/>
              </w:rPr>
            </w:pPr>
          </w:p>
        </w:tc>
        <w:tc>
          <w:tcPr>
            <w:tcW w:w="1643" w:type="dxa"/>
            <w:vAlign w:val="center"/>
          </w:tcPr>
          <w:p>
            <w:pPr>
              <w:pStyle w:val="13"/>
              <w:jc w:val="center"/>
              <w:rPr>
                <w:rFonts w:hint="default" w:eastAsia="方正书宋_GBK"/>
                <w:lang w:val="en-US" w:eastAsia="zh-CN"/>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0" w:type="dxa"/>
            <w:vAlign w:val="center"/>
          </w:tcPr>
          <w:p>
            <w:pPr>
              <w:pStyle w:val="15"/>
              <w:rPr>
                <w:rFonts w:hint="eastAsia"/>
                <w:lang w:val="en-US" w:eastAsia="zh-CN"/>
              </w:rPr>
            </w:pPr>
          </w:p>
        </w:tc>
        <w:tc>
          <w:tcPr>
            <w:tcW w:w="2520" w:type="dxa"/>
            <w:vAlign w:val="center"/>
          </w:tcPr>
          <w:p>
            <w:pPr>
              <w:pStyle w:val="14"/>
              <w:rPr>
                <w:rFonts w:hint="eastAsia"/>
                <w:lang w:eastAsia="zh-CN"/>
              </w:rPr>
            </w:pPr>
            <w:r>
              <w:rPr>
                <w:rFonts w:hint="eastAsia"/>
                <w:lang w:eastAsia="zh-CN"/>
              </w:rPr>
              <w:t>二、公务用车购置及运维费</w:t>
            </w:r>
          </w:p>
        </w:tc>
        <w:tc>
          <w:tcPr>
            <w:tcW w:w="1199" w:type="dxa"/>
            <w:vAlign w:val="center"/>
          </w:tcPr>
          <w:p>
            <w:pPr>
              <w:bidi w:val="0"/>
              <w:jc w:val="center"/>
              <w:rPr>
                <w:rFonts w:hint="default" w:eastAsia="宋体"/>
                <w:lang w:val="en-US" w:eastAsia="zh-CN"/>
              </w:rPr>
            </w:pPr>
            <w:r>
              <w:rPr>
                <w:rFonts w:hint="eastAsia" w:eastAsia="宋体"/>
                <w:lang w:val="en-US" w:eastAsia="zh-CN"/>
              </w:rPr>
              <w:t>203000</w:t>
            </w:r>
          </w:p>
        </w:tc>
        <w:tc>
          <w:tcPr>
            <w:tcW w:w="1643" w:type="dxa"/>
            <w:vAlign w:val="center"/>
          </w:tcPr>
          <w:p>
            <w:pPr>
              <w:pStyle w:val="13"/>
              <w:jc w:val="center"/>
              <w:rPr>
                <w:rFonts w:hint="default" w:eastAsia="方正书宋_GBK"/>
                <w:lang w:val="en-US" w:eastAsia="zh-CN"/>
              </w:rPr>
            </w:pPr>
            <w:r>
              <w:rPr>
                <w:rFonts w:hint="eastAsia"/>
                <w:lang w:val="en-US" w:eastAsia="zh-CN"/>
              </w:rPr>
              <w:t>203000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0" w:type="dxa"/>
            <w:vAlign w:val="center"/>
          </w:tcPr>
          <w:p>
            <w:pPr>
              <w:pStyle w:val="15"/>
              <w:rPr>
                <w:rFonts w:hint="eastAsia"/>
                <w:lang w:val="en-US" w:eastAsia="zh-CN"/>
              </w:rPr>
            </w:pPr>
          </w:p>
        </w:tc>
        <w:tc>
          <w:tcPr>
            <w:tcW w:w="2520" w:type="dxa"/>
            <w:vAlign w:val="center"/>
          </w:tcPr>
          <w:p>
            <w:pPr>
              <w:pStyle w:val="14"/>
              <w:rPr>
                <w:rFonts w:hint="eastAsia"/>
                <w:lang w:eastAsia="zh-CN"/>
              </w:rPr>
            </w:pPr>
            <w:r>
              <w:rPr>
                <w:rFonts w:hint="eastAsia"/>
                <w:lang w:eastAsia="zh-CN"/>
              </w:rPr>
              <w:t>其中：公务用车购置</w:t>
            </w:r>
          </w:p>
        </w:tc>
        <w:tc>
          <w:tcPr>
            <w:tcW w:w="1199" w:type="dxa"/>
            <w:vAlign w:val="center"/>
          </w:tcPr>
          <w:p>
            <w:pPr>
              <w:bidi w:val="0"/>
              <w:jc w:val="center"/>
              <w:rPr>
                <w:rFonts w:hint="default" w:eastAsia="宋体"/>
                <w:lang w:val="en-US" w:eastAsia="zh-CN"/>
              </w:rPr>
            </w:pPr>
          </w:p>
        </w:tc>
        <w:tc>
          <w:tcPr>
            <w:tcW w:w="1643" w:type="dxa"/>
            <w:vAlign w:val="center"/>
          </w:tcPr>
          <w:p>
            <w:pPr>
              <w:pStyle w:val="13"/>
              <w:jc w:val="center"/>
              <w:rPr>
                <w:rFonts w:hint="default" w:eastAsia="方正书宋_GBK"/>
                <w:lang w:val="en-US" w:eastAsia="zh-CN"/>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0" w:type="dxa"/>
            <w:vAlign w:val="center"/>
          </w:tcPr>
          <w:p>
            <w:pPr>
              <w:pStyle w:val="15"/>
              <w:rPr>
                <w:rFonts w:hint="eastAsia"/>
                <w:lang w:val="en-US" w:eastAsia="zh-CN"/>
              </w:rPr>
            </w:pPr>
          </w:p>
        </w:tc>
        <w:tc>
          <w:tcPr>
            <w:tcW w:w="2520" w:type="dxa"/>
            <w:vAlign w:val="center"/>
          </w:tcPr>
          <w:p>
            <w:pPr>
              <w:pStyle w:val="14"/>
              <w:ind w:firstLine="210" w:firstLineChars="100"/>
              <w:rPr>
                <w:rFonts w:hint="eastAsia"/>
                <w:lang w:eastAsia="zh-CN"/>
              </w:rPr>
            </w:pPr>
            <w:r>
              <w:rPr>
                <w:rFonts w:hint="eastAsia"/>
                <w:lang w:eastAsia="zh-CN"/>
              </w:rPr>
              <w:t>公务用车运行维护费</w:t>
            </w:r>
          </w:p>
        </w:tc>
        <w:tc>
          <w:tcPr>
            <w:tcW w:w="1199" w:type="dxa"/>
            <w:vAlign w:val="center"/>
          </w:tcPr>
          <w:p>
            <w:pPr>
              <w:bidi w:val="0"/>
              <w:jc w:val="center"/>
              <w:rPr>
                <w:rFonts w:hint="default" w:eastAsia="宋体"/>
                <w:lang w:val="en-US" w:eastAsia="zh-CN"/>
              </w:rPr>
            </w:pPr>
            <w:r>
              <w:rPr>
                <w:rFonts w:hint="eastAsia" w:eastAsia="宋体"/>
                <w:lang w:val="en-US" w:eastAsia="zh-CN"/>
              </w:rPr>
              <w:t>203000</w:t>
            </w:r>
          </w:p>
        </w:tc>
        <w:tc>
          <w:tcPr>
            <w:tcW w:w="1643" w:type="dxa"/>
            <w:vAlign w:val="center"/>
          </w:tcPr>
          <w:p>
            <w:pPr>
              <w:pStyle w:val="13"/>
              <w:jc w:val="center"/>
              <w:rPr>
                <w:rFonts w:hint="default" w:eastAsia="方正书宋_GBK"/>
                <w:lang w:val="en-US" w:eastAsia="zh-CN"/>
              </w:rPr>
            </w:pPr>
            <w:r>
              <w:rPr>
                <w:rFonts w:hint="eastAsia"/>
                <w:lang w:val="en-US" w:eastAsia="zh-CN"/>
              </w:rPr>
              <w:t>203000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0" w:type="dxa"/>
            <w:vAlign w:val="center"/>
          </w:tcPr>
          <w:p>
            <w:pPr>
              <w:pStyle w:val="15"/>
              <w:rPr>
                <w:rFonts w:hint="eastAsia"/>
                <w:lang w:val="en-US" w:eastAsia="zh-CN"/>
              </w:rPr>
            </w:pPr>
          </w:p>
        </w:tc>
        <w:tc>
          <w:tcPr>
            <w:tcW w:w="2520" w:type="dxa"/>
            <w:vAlign w:val="center"/>
          </w:tcPr>
          <w:p>
            <w:pPr>
              <w:pStyle w:val="14"/>
              <w:rPr>
                <w:rFonts w:hint="eastAsia"/>
                <w:lang w:eastAsia="zh-CN"/>
              </w:rPr>
            </w:pPr>
            <w:r>
              <w:rPr>
                <w:rFonts w:hint="eastAsia"/>
                <w:lang w:eastAsia="zh-CN"/>
              </w:rPr>
              <w:t>三、公务接待费</w:t>
            </w:r>
          </w:p>
        </w:tc>
        <w:tc>
          <w:tcPr>
            <w:tcW w:w="1199" w:type="dxa"/>
            <w:vAlign w:val="center"/>
          </w:tcPr>
          <w:p>
            <w:pPr>
              <w:bidi w:val="0"/>
              <w:jc w:val="center"/>
              <w:rPr>
                <w:rFonts w:hint="default" w:eastAsia="宋体"/>
                <w:lang w:val="en-US" w:eastAsia="zh-CN"/>
              </w:rPr>
            </w:pPr>
            <w:r>
              <w:rPr>
                <w:rFonts w:hint="eastAsia" w:eastAsia="宋体"/>
                <w:lang w:val="en-US" w:eastAsia="zh-CN"/>
              </w:rPr>
              <w:t>200000</w:t>
            </w:r>
          </w:p>
        </w:tc>
        <w:tc>
          <w:tcPr>
            <w:tcW w:w="1643" w:type="dxa"/>
            <w:vAlign w:val="center"/>
          </w:tcPr>
          <w:p>
            <w:pPr>
              <w:pStyle w:val="13"/>
              <w:jc w:val="center"/>
              <w:rPr>
                <w:rFonts w:hint="default" w:eastAsia="方正书宋_GBK"/>
                <w:lang w:val="en-US" w:eastAsia="zh-CN"/>
              </w:rPr>
            </w:pPr>
            <w:r>
              <w:rPr>
                <w:rFonts w:hint="eastAsia"/>
                <w:lang w:val="en-US" w:eastAsia="zh-CN"/>
              </w:rPr>
              <w:t>200000</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玉田县人民代表大会常务委员会2022年部门预算信息公开情况说明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玉田县人民代表大会常务委员会2022年部门预算信息公开情况说明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按照《预算法》、《地方预决算公开操作规程》和《关于进一步推进预算公开工作的实施意见》规定，现将玉田县人民代表大会常务委员会2022年部门预算公开如下：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部门职责</w:t>
      </w:r>
    </w:p>
    <w:p>
      <w:pPr>
        <w:pStyle w:val="19"/>
      </w:pPr>
      <w:r>
        <w:t>县</w:t>
      </w:r>
      <w:r>
        <w:rPr>
          <w:rFonts w:hint="eastAsia"/>
          <w:lang w:eastAsia="zh-CN"/>
        </w:rPr>
        <w:t>人民代表大会常务委员会</w:t>
      </w:r>
      <w:r>
        <w:t>是县人民代表大会的常设机关，对县人民代表大会负责并报告工作。县</w:t>
      </w:r>
      <w:r>
        <w:rPr>
          <w:rFonts w:hint="eastAsia"/>
          <w:lang w:eastAsia="zh-CN"/>
        </w:rPr>
        <w:t>人民代表大会常务委员会</w:t>
      </w:r>
      <w:r>
        <w:t>行使下列职权： 在本行政区域内，保证宪法、法律、行政法规和上级人民代表大会及其常委会决议的遵守和执行；领导、主持县人民代表大会代表的选举；召集县人民代表大会会议；讨论、决定本县内的政治、经济、教育、科学、文化、卫生、环境和资源保护、民政、民族等工作的重大事项； 根据县人民政府的建议，决定对本县内的国民经济和社会发展计划、预算的部分变更；监督县人民政府、人民法院和人民检察院的工作，联系县人民代表大会代表，受理人民群众对上述机关和国家工作人员的申诉和意见等。</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玉田县人民代表大会常务委员会本级</w:t>
            </w:r>
          </w:p>
        </w:tc>
        <w:tc>
          <w:tcPr>
            <w:tcW w:w="1843" w:type="dxa"/>
            <w:vAlign w:val="center"/>
          </w:tcPr>
          <w:p>
            <w:pPr>
              <w:pStyle w:val="15"/>
            </w:pPr>
            <w:r>
              <w:t>行政</w:t>
            </w:r>
          </w:p>
        </w:tc>
        <w:tc>
          <w:tcPr>
            <w:tcW w:w="2126" w:type="dxa"/>
            <w:vAlign w:val="center"/>
          </w:tcPr>
          <w:p>
            <w:pPr>
              <w:pStyle w:val="15"/>
            </w:pPr>
            <w:r>
              <w:t>正处（县）级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按照预算管理有关规定，目前我省部门预算的编制实行综合预算管理，即全部收入和支出都反映在预算中。玉田县人民代表大会常务委员会机关及所属事业单位的收支包含在部门预算中。</w:t>
      </w:r>
    </w:p>
    <w:p>
      <w:pPr>
        <w:pStyle w:val="20"/>
      </w:pPr>
      <w:r>
        <w:t>部门预算安排的总体情况</w:t>
      </w:r>
    </w:p>
    <w:p>
      <w:pPr>
        <w:pStyle w:val="20"/>
      </w:pPr>
    </w:p>
    <w:p>
      <w:pPr>
        <w:pStyle w:val="20"/>
      </w:pPr>
      <w:r>
        <w:t>按照预算管理有关规定，目前我省部门预算的编制实行综合预算管理，即全部收入和支出都反映在预算中。玉田县</w:t>
      </w:r>
      <w:r>
        <w:rPr>
          <w:rFonts w:hint="eastAsia"/>
          <w:lang w:eastAsia="zh-CN"/>
        </w:rPr>
        <w:t>人民</w:t>
      </w:r>
      <w:r>
        <w:t>代表大会常务委员会办公室机关收支包含在部门预算中。</w:t>
      </w:r>
    </w:p>
    <w:p>
      <w:pPr>
        <w:pStyle w:val="20"/>
      </w:pPr>
      <w:r>
        <w:t>1、收入说明</w:t>
      </w:r>
    </w:p>
    <w:p>
      <w:pPr>
        <w:pStyle w:val="20"/>
      </w:pPr>
      <w:r>
        <w:t>我单位2022年一般公共预算拨款收入为732.50万元，其中：一般公共预算收入732.50万元，政府性基金收入0万元，财政专户收入0万元，其他来源收入0万元。</w:t>
      </w:r>
    </w:p>
    <w:p>
      <w:pPr>
        <w:pStyle w:val="20"/>
      </w:pPr>
      <w:r>
        <w:t>2、支出说明</w:t>
      </w:r>
    </w:p>
    <w:p>
      <w:pPr>
        <w:pStyle w:val="20"/>
      </w:pPr>
      <w:r>
        <w:t>收支预算总表支出、基本支出表、项目支出表按经济分类和支出功能分类科目编制，反应玉田县人民代表大会常务委员会办公室年度部门预算中支出预算的总体情况。2022年支出预算732.5万元，其中基本支出621.21万元，包括人员经费509.1万元、日常公用经费112.11万元；项目支出111.29万元，主要为人大会议费44万元、常委会委员代表培训30.03万元、人大代表订刊11.7万元、人大专项工作经费10万元、五星代表之家联络站4万元、人大代表活动11.56万元。</w:t>
      </w:r>
    </w:p>
    <w:p>
      <w:pPr>
        <w:pStyle w:val="20"/>
      </w:pPr>
      <w:r>
        <w:t>3、比上年增减情况</w:t>
      </w:r>
    </w:p>
    <w:p>
      <w:pPr>
        <w:pStyle w:val="20"/>
      </w:pPr>
      <w:r>
        <w:t>2022年部门预算全部为一般公共预算，无政府性基金收支预算和国有资本经营收支预算。2022年部门预算收支安排732.5万元，较2021年增加73.86万元，其中人员经费增加78.83万元、正常公用经费增加112.11万元（按在职人数安排的经费增加）、项目支出减少32.12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2022年我单位安排机关运行经费112.11万元，全部为日常公用经费112.11万元。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2022年我单位财政拨款“三公”经费预算安排40.3万元，具体安排情况如下：</w:t>
      </w:r>
    </w:p>
    <w:p>
      <w:pPr>
        <w:pStyle w:val="22"/>
      </w:pPr>
      <w:r>
        <w:t>（一）公务用车购置及运行费：共计20.3万元，与上年相平，无增减变化。</w:t>
      </w:r>
    </w:p>
    <w:p>
      <w:pPr>
        <w:pStyle w:val="22"/>
      </w:pPr>
      <w:r>
        <w:t>1、公务用车购置安排0万元，与上年持平，无增减变化。</w:t>
      </w:r>
    </w:p>
    <w:p>
      <w:pPr>
        <w:pStyle w:val="22"/>
      </w:pPr>
      <w:r>
        <w:t>2、公车运行维护经费安排20.3万元，与上年持平，无增减变化。</w:t>
      </w:r>
    </w:p>
    <w:p>
      <w:pPr>
        <w:pStyle w:val="22"/>
      </w:pPr>
      <w:r>
        <w:t>（二）公务接待费：安排20万元，与上年相比，增加5万元。（主要原因：2021年公务接待费用支出较紧张，2022年增加5万元）</w:t>
      </w:r>
    </w:p>
    <w:p>
      <w:pPr>
        <w:pStyle w:val="22"/>
      </w:pPr>
      <w:r>
        <w:t>（三）因公出国（境）费安排0万元，与上年持平，无增减变化。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总体目标</w:t>
      </w:r>
    </w:p>
    <w:p>
      <w:pPr>
        <w:pStyle w:val="23"/>
      </w:pPr>
    </w:p>
    <w:p>
      <w:pPr>
        <w:pStyle w:val="23"/>
      </w:pPr>
    </w:p>
    <w:p>
      <w:pPr>
        <w:pStyle w:val="23"/>
      </w:pPr>
      <w:r>
        <w:t>按照围绕中心、服务大局、突出重点、讲求实效的工作思路，紧扣县委的重大决策部署开展人大监督。围绕义务教育、乡镇卫生院建设、公共文化服务、卫生应急能力等重大民生事项强化监督，促进关乎发展与民生工作更好开展。继续深化对财政预算的监督，加强预算初审、预算执行监督及财政决算的审查，不断提高预算的全口径、全链条监督水平。开展开展《</w:t>
      </w:r>
      <w:r>
        <w:rPr>
          <w:rFonts w:hint="eastAsia"/>
          <w:lang w:eastAsia="zh-CN"/>
        </w:rPr>
        <w:t>中华人民共和国</w:t>
      </w:r>
      <w:r>
        <w:t>道路交通安全法》《</w:t>
      </w:r>
      <w:r>
        <w:rPr>
          <w:rFonts w:hint="eastAsia"/>
          <w:lang w:eastAsia="zh-CN"/>
        </w:rPr>
        <w:t>中华人民共和国</w:t>
      </w:r>
      <w:r>
        <w:t>药品管理法》《</w:t>
      </w:r>
      <w:r>
        <w:rPr>
          <w:rFonts w:hint="eastAsia"/>
          <w:lang w:eastAsia="zh-CN"/>
        </w:rPr>
        <w:t>中华人民共和国社会保险法</w:t>
      </w:r>
      <w:r>
        <w:t>》《</w:t>
      </w:r>
      <w:r>
        <w:rPr>
          <w:rFonts w:hint="eastAsia"/>
          <w:lang w:eastAsia="zh-CN"/>
        </w:rPr>
        <w:t>中华人民共和国刑事诉讼法</w:t>
      </w:r>
      <w:r>
        <w:t>》《</w:t>
      </w:r>
      <w:r>
        <w:rPr>
          <w:rFonts w:hint="eastAsia"/>
          <w:lang w:eastAsia="zh-CN"/>
        </w:rPr>
        <w:t>中华人民共和国野生动物保护法</w:t>
      </w:r>
      <w:r>
        <w:t>》等法律法规执法检查，重点对扫黑除恶、社会治安、法院执行等项工作进行视察调研。支持和督促政府深入开展法制宣传教育工作，为加快发展营造良好法治环境。研究探索对监察委员会监督的方式方法，适时听取县监察委员会工作汇报，提出意见建议。进一步加强司法监督，深入推进普法宣传工作，促进法治政府建设，开展“国家宪法日”和“宪法宣传周”系列活动，提高全民法治素养，维护社会和谐稳定。</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分项绩效目标</w:t>
      </w:r>
    </w:p>
    <w:p>
      <w:pPr>
        <w:pStyle w:val="24"/>
      </w:pPr>
    </w:p>
    <w:p>
      <w:pPr>
        <w:pStyle w:val="24"/>
      </w:pPr>
      <w:r>
        <w:t>一、人员经费绩效目标</w:t>
      </w:r>
    </w:p>
    <w:p>
      <w:pPr>
        <w:pStyle w:val="24"/>
      </w:pPr>
      <w:r>
        <w:t>人员经费年初预算安排7178372.97元，此项主要目标为保障单位在职及退休人员工资正常发放、保险正常缴纳，福利待遇正常享受和遗属补助正常发放。资金累计支出进度3月底、6月底、10月底、12月底分别达到25%、50%、75%、100%。项目共设产出指标、效益指标、满意度指标三个一级指标，下设9个二、三级指标。具体为：1、产出指标－数量指标－发放覆盖率（发放人数占总人数的百分比），指标值为全覆盖。2、效益指标—社会效益指标—保障正常运行能力，指标值，正常运转3、满意度指标－服务对象满意度－群众满意度情况，指标值为&gt;＝95%。以上指标依据相关政策文件规定。</w:t>
      </w:r>
    </w:p>
    <w:p>
      <w:pPr>
        <w:pStyle w:val="24"/>
      </w:pPr>
      <w:r>
        <w:t>二、日常公用经费绩效目标</w:t>
      </w:r>
    </w:p>
    <w:p>
      <w:pPr>
        <w:pStyle w:val="24"/>
      </w:pPr>
      <w:r>
        <w:t>日常公用经费年初预算安排920122.58元，此项主要目标</w:t>
      </w:r>
    </w:p>
    <w:p>
      <w:pPr>
        <w:pStyle w:val="24"/>
      </w:pPr>
      <w:r>
        <w:t>为保障机关各项工作正常运行。资金累计支出进度3月底、6月底、10月底、12月底分别达到25%、55%、75%、100%。项目共设产出指标、效果指标、满意度指标三个一级指标，下设9个二、三级指标。具体为：1、产出指标－质量指标—保障机关各项工作正常运行，指标值，正常运行。2、效益指标—经济效益—财政资金使用情况，指标值，科学合理。3、满意度指标－服务对象满意度－群众满意度情况，指标值为，满意。以上指标依据相关政策文件规定。</w:t>
      </w:r>
    </w:p>
    <w:p>
      <w:pPr>
        <w:pStyle w:val="24"/>
      </w:pPr>
      <w:r>
        <w:t>三、项目绩效目标</w:t>
      </w:r>
    </w:p>
    <w:p>
      <w:pPr>
        <w:pStyle w:val="24"/>
      </w:pPr>
      <w:r>
        <w:t>1、“人大会议费”项目年初预算安排44万元，项目主要目标为2022年第十七届人民代表大会第二次会议圆满完成。资金累计支出进度3月底、6月底、10月底、12月底分别达到20%、50%、80%、100%。项目共设产出指标、效果指标、满意度指标三个一级指标，下设9个二、三级指标。具体为：1、产出指标-时效指标-会议召开预期进行。2、效果指标－社会效益指标－意见建议采纳率（被采纳意见建设数量占总数量），指标值为&gt;＝90%。3、满意度指标－服务对象满意度－人大工作参与者满意度情况（人大工作参与者满意人数占参与人数的比例），指标值为满意。以上指标依据为省市人大对会议要求和人大会议召开相关文件规定。</w:t>
      </w:r>
    </w:p>
    <w:p>
      <w:pPr>
        <w:pStyle w:val="24"/>
      </w:pPr>
      <w:r>
        <w:t>2、“县人大代表订刊”项目年初预算安排11.7万元，项目主要目标为年内完成报刊杂志征订情况。资金支出进度3月底、6月底、10月底、12月底分别达到20%、50%、70%、100%。项目共设产出指标、效果指标、满意度指标三个一级指标，下设9个二、三级指标。具体为：1、产出指标-时效指标-完成率（年底报刊征订完成情况占应征订数量的百分比），指标值为&gt;＝100%。2、效果指标－社会效益指标－已支持的新媒体、全媒体项目的传播力、引导力、公信力增强效果（反映新媒体、全媒体项目在宣传党和政府声音、传播正能量方面的报道情况）指标值为&gt;＝80%。3、满意度指标－服务对象满意度-阅读者对报刊订阅工作的满意程度，指标值为&gt;＝90%.以上指标依据按照《代表法》相关要求相关文件规定。</w:t>
      </w:r>
    </w:p>
    <w:p>
      <w:pPr>
        <w:pStyle w:val="24"/>
      </w:pPr>
      <w:r>
        <w:t>3、“县人大代表活动”项目年初预算安排11.56万元，项目主要目标为年内有关代表活动的相关支出，达到预期效果。资金支出进度3月底、6月底、10月底、12月底分别达到20%、60%、80%、100%。项目共设产出指标、效果指标、满意度指标三个一级指标，下设9个二、三级指标。具体为：1、产出指标-时效指标-完成率（当年培训活动完成情况），指标值为完成培训。2、效果指标－社会效益指标－确保培训政治导向正确（培训项目不出现上级通报的意识形态重大问题（个））指标值为&lt;=0。3、满意度指标－服务对象满意度-代表满意度（代表对当年培训的整体满意度），指标值为&gt;＝90%。以上指标依据《中共玉田县委关于加强人大工作的意见》（玉发[2005]11号）中相关要求规定。</w:t>
      </w:r>
    </w:p>
    <w:p>
      <w:pPr>
        <w:pStyle w:val="24"/>
      </w:pPr>
      <w:r>
        <w:t>4、“常务会委员培训”项目年初预算安排300300元，项目主要目标为年内完成代表培训活动。资金支出进度3月底、6月底、10月底、12月底分别达到20%、70%、85%、100%。项目共设产出指标、效果指标、满意度指标三个一级指标，下设9个二、三级指标。具体为：1、产出指标-时效指标-完成率（当年培训活动完成情况），指标值为完成。2、效果指标－社会效益指标－确保培训政治导向正确（培训项目不出现上级通报的意识形态重大问题（个））指标值为&lt;=0。3、满意度指标－服务对象满意度-代表满意度（代表对当年培训的整体满意度），指标值为&gt;＝90%。以上指标依据《中共玉田县委关于加强人大工作的意见》（玉发[2005]11号）中相关要求规定。</w:t>
      </w:r>
    </w:p>
    <w:p>
      <w:pPr>
        <w:pStyle w:val="24"/>
      </w:pPr>
      <w:r>
        <w:t>5、“人大专项工作经费”项目年初预算安排10万元，项目主要目标为开展人大监督工作的各项支出。资金支出进度3月底、6月底、10月底、12月底分别达到30%、50%、80%、100%。项目共设产出指标、效果指标、满意度指标三个一级指标，下设9个二、三级指标。具体为：1、产出指标-质量指标-监督发现问题百分比（人大监督发现问题比率），指标值为&gt;＝80%。2、效果指标－社会效益指标－爱国主义教育基地参观学习人次（组织前往爱国主义教育基地参观的数量（人次）），指标值为200人次。3、满意度指标－服务对象满意度-人民群众满意程度，指标值为满意。以上指标依据省市人大为更好发挥人大监督职能的相关文件规定。</w:t>
      </w:r>
    </w:p>
    <w:p>
      <w:pPr>
        <w:pStyle w:val="24"/>
      </w:pPr>
      <w:r>
        <w:t>6、“五星代表之家联络站”项目年初预算安排4万元，项目资金主要用于2022年五星级代表之家以及联络站经费补贴。资金支出进度3月底、6月底、10月底、12月底分别达到40%、80%、100%、0%。项目共设产出指标、效果指标、满意度指标三个一级指标，下设9个二、三级指标。具体为：1、产出指标—数量指标——家站利用率，指标值为&gt;＝85%。2、效果指标—社会效益—充分发挥联系服务群众作用，指标值为&gt;85%。3、满意度指标—群众满意度，指标值为指标值为&gt;＝90%。以上指标依据省市人大相关文件规定。</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工作保障措施</w:t>
      </w:r>
    </w:p>
    <w:p>
      <w:pPr>
        <w:pStyle w:val="25"/>
      </w:pPr>
    </w:p>
    <w:p>
      <w:pPr>
        <w:pStyle w:val="25"/>
      </w:pPr>
      <w:r>
        <w:t>2022年部门预算安排的支出内容，是我单位正常运行的基保证。各项经费的安排均是按照最低标准和需求进行申报的。通过这些经费的合理安排使用，将会保证全县的人大代表工作更好的开展。</w:t>
      </w:r>
    </w:p>
    <w:p>
      <w:pPr>
        <w:pStyle w:val="25"/>
      </w:pPr>
      <w:r>
        <w:t>1、大力提升代表履职能力。坚持联系代表、重大事项向代表通报制度，加强代表履职培训，提高代表法律素养和履职能力。通过召开建议交办和督办会议、听取建议办理情况汇报、实地查看办理进度、邀请代表座谈、专项工作满意度测评等方式，持续推进代表建议督办机制创新，不断提升代表建议落实率和满意率。</w:t>
      </w:r>
    </w:p>
    <w:p>
      <w:pPr>
        <w:pStyle w:val="25"/>
      </w:pPr>
      <w:r>
        <w:t>2、强化理论学习和业务培训，加强党风廉政建设，不断提高常委会组成人员和机关干部履职能力，打造忠诚干净担当的人大干部队伍。</w:t>
      </w:r>
    </w:p>
    <w:p>
      <w:pPr>
        <w:pStyle w:val="25"/>
      </w:pPr>
      <w:r>
        <w:t>3、落实各项工作制度。严格落实常委会及专门委员会的各项工作制度和议事规则，不断提高人大工作水平。经常深入基层联系代表，全面了解民情民意，及时反映人民群众呼声。</w:t>
      </w:r>
    </w:p>
    <w:p>
      <w:pPr>
        <w:pStyle w:val="25"/>
      </w:pPr>
      <w:r>
        <w:t>4、加强县乡人大工作联动。指导乡镇人大落实各项制度，夯实基层基础，实现县乡人大工作整体推进、同步发展，共同提高。</w:t>
      </w:r>
    </w:p>
    <w:p>
      <w:pPr>
        <w:pStyle w:val="25"/>
      </w:pPr>
      <w:r>
        <w:t>5、加强人大宣传工作。以“玉田人大”网站和微信公众号为阵地，积极推进信息化建设，提高宣传工作的质量和效果。</w:t>
      </w:r>
    </w:p>
    <w:p>
      <w:pPr>
        <w:pStyle w:val="25"/>
      </w:pPr>
    </w:p>
    <w:p>
      <w:pPr>
        <w:spacing w:before="0" w:after="0" w:line="240" w:lineRule="auto"/>
        <w:ind w:firstLine="640"/>
        <w:jc w:val="left"/>
        <w:outlineLvl w:val="9"/>
      </w:pPr>
      <w:r>
        <w:rPr>
          <w:rFonts w:ascii="方正楷体_GBK" w:hAnsi="方正楷体_GBK" w:eastAsia="方正楷体_GBK" w:cs="方正楷体_GBK"/>
          <w:b/>
          <w:color w:val="000000"/>
          <w:sz w:val="32"/>
        </w:rPr>
        <w:t>第二部分  专项资金绩效目标</w:t>
      </w:r>
    </w:p>
    <w:p>
      <w:pPr>
        <w:pStyle w:val="26"/>
        <w:spacing w:before="0" w:after="0" w:line="240" w:lineRule="auto"/>
        <w:ind w:firstLine="640"/>
        <w:jc w:val="left"/>
        <w:outlineLvl w:val="9"/>
      </w:pPr>
      <w:r>
        <w:rPr>
          <w:rFonts w:ascii="方正楷体_GBK" w:hAnsi="方正楷体_GBK" w:eastAsia="方正楷体_GBK" w:cs="方正楷体_GBK"/>
          <w:b/>
          <w:color w:val="000000"/>
          <w:sz w:val="32"/>
        </w:rPr>
        <w:t>第三部分  预算项目绩效目标</w:t>
      </w:r>
    </w:p>
    <w:p>
      <w:pPr>
        <w:pStyle w:val="26"/>
        <w:spacing w:before="0" w:after="0"/>
        <w:ind w:firstLine="560"/>
        <w:jc w:val="left"/>
        <w:outlineLvl w:val="9"/>
      </w:pPr>
      <w:r>
        <w:rPr>
          <w:rFonts w:ascii="方正仿宋_GBK" w:hAnsi="方正仿宋_GBK" w:eastAsia="方正仿宋_GBK" w:cs="方正仿宋_GBK"/>
          <w:b/>
          <w:color w:val="000000"/>
          <w:sz w:val="28"/>
        </w:rPr>
        <w:t>1、常委会委员代表培训绩效目标表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1.目标内容1一定程度上提高常委会委员代表履职能力</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培训人数</w:t>
            </w:r>
          </w:p>
        </w:tc>
        <w:tc>
          <w:tcPr>
            <w:tcW w:w="2835" w:type="dxa"/>
            <w:vAlign w:val="center"/>
          </w:tcPr>
          <w:p>
            <w:pPr>
              <w:pStyle w:val="28"/>
            </w:pPr>
            <w:r>
              <w:rPr>
                <w:rFonts w:hint="eastAsia"/>
                <w:lang w:eastAsia="zh-CN"/>
              </w:rPr>
              <w:t>人民代表大会常务委员会</w:t>
            </w:r>
            <w:r>
              <w:t>委员培训班中县</w:t>
            </w:r>
            <w:r>
              <w:rPr>
                <w:rFonts w:hint="eastAsia"/>
                <w:lang w:eastAsia="zh-CN"/>
              </w:rPr>
              <w:t>人民代表大会常务委员会</w:t>
            </w:r>
            <w:r>
              <w:t>代表人数</w:t>
            </w:r>
          </w:p>
        </w:tc>
        <w:tc>
          <w:tcPr>
            <w:tcW w:w="2551" w:type="dxa"/>
            <w:vAlign w:val="center"/>
          </w:tcPr>
          <w:p>
            <w:pPr>
              <w:pStyle w:val="28"/>
            </w:pPr>
            <w:r>
              <w:t>51人</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培训合格率</w:t>
            </w:r>
          </w:p>
        </w:tc>
        <w:tc>
          <w:tcPr>
            <w:tcW w:w="2835" w:type="dxa"/>
            <w:vAlign w:val="center"/>
          </w:tcPr>
          <w:p>
            <w:pPr>
              <w:pStyle w:val="28"/>
            </w:pPr>
            <w:r>
              <w:t>培训合格达标率</w:t>
            </w:r>
          </w:p>
        </w:tc>
        <w:tc>
          <w:tcPr>
            <w:tcW w:w="2551" w:type="dxa"/>
            <w:vAlign w:val="center"/>
          </w:tcPr>
          <w:p>
            <w:pPr>
              <w:pStyle w:val="28"/>
            </w:pPr>
            <w:r>
              <w:t>100%</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培训按时完成情况</w:t>
            </w:r>
          </w:p>
        </w:tc>
        <w:tc>
          <w:tcPr>
            <w:tcW w:w="2835" w:type="dxa"/>
            <w:vAlign w:val="center"/>
          </w:tcPr>
          <w:p>
            <w:pPr>
              <w:pStyle w:val="28"/>
            </w:pPr>
            <w:r>
              <w:t>培训按时完成情况</w:t>
            </w:r>
          </w:p>
        </w:tc>
        <w:tc>
          <w:tcPr>
            <w:tcW w:w="2551" w:type="dxa"/>
            <w:vAlign w:val="center"/>
          </w:tcPr>
          <w:p>
            <w:pPr>
              <w:pStyle w:val="28"/>
            </w:pPr>
            <w:r>
              <w:t>如期完成</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w:t>
            </w:r>
          </w:p>
        </w:tc>
        <w:tc>
          <w:tcPr>
            <w:tcW w:w="2835" w:type="dxa"/>
            <w:vAlign w:val="center"/>
          </w:tcPr>
          <w:p>
            <w:pPr>
              <w:pStyle w:val="28"/>
            </w:pPr>
            <w:r>
              <w:t>成本控制</w:t>
            </w:r>
          </w:p>
        </w:tc>
        <w:tc>
          <w:tcPr>
            <w:tcW w:w="2551" w:type="dxa"/>
            <w:vAlign w:val="center"/>
          </w:tcPr>
          <w:p>
            <w:pPr>
              <w:pStyle w:val="28"/>
            </w:pPr>
            <w:r>
              <w:t>30.03万元</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可持续影响指标</w:t>
            </w:r>
          </w:p>
        </w:tc>
        <w:tc>
          <w:tcPr>
            <w:tcW w:w="2835" w:type="dxa"/>
            <w:vAlign w:val="center"/>
          </w:tcPr>
          <w:p>
            <w:pPr>
              <w:pStyle w:val="28"/>
            </w:pPr>
            <w:r>
              <w:t>影响力</w:t>
            </w:r>
          </w:p>
        </w:tc>
        <w:tc>
          <w:tcPr>
            <w:tcW w:w="2835" w:type="dxa"/>
            <w:vAlign w:val="center"/>
          </w:tcPr>
          <w:p>
            <w:pPr>
              <w:pStyle w:val="28"/>
            </w:pPr>
            <w:r>
              <w:t>能更好的代表人民利益，满足人民需求</w:t>
            </w:r>
          </w:p>
        </w:tc>
        <w:tc>
          <w:tcPr>
            <w:tcW w:w="2551" w:type="dxa"/>
            <w:vAlign w:val="center"/>
          </w:tcPr>
          <w:p>
            <w:pPr>
              <w:pStyle w:val="28"/>
            </w:pPr>
            <w:r>
              <w:t>满足人民需求</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确保培训政治导向正确</w:t>
            </w:r>
          </w:p>
        </w:tc>
        <w:tc>
          <w:tcPr>
            <w:tcW w:w="2835" w:type="dxa"/>
            <w:vAlign w:val="center"/>
          </w:tcPr>
          <w:p>
            <w:pPr>
              <w:pStyle w:val="28"/>
            </w:pPr>
            <w:r>
              <w:t>培训项目不出现上级通报的意识形态重大问题（个）</w:t>
            </w:r>
          </w:p>
        </w:tc>
        <w:tc>
          <w:tcPr>
            <w:tcW w:w="2551" w:type="dxa"/>
            <w:vAlign w:val="center"/>
          </w:tcPr>
          <w:p>
            <w:pPr>
              <w:pStyle w:val="28"/>
            </w:pPr>
            <w:r>
              <w:t>绝不能出现</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达到绿色产业标准</w:t>
            </w:r>
          </w:p>
        </w:tc>
        <w:tc>
          <w:tcPr>
            <w:tcW w:w="2835" w:type="dxa"/>
            <w:vAlign w:val="center"/>
          </w:tcPr>
          <w:p>
            <w:pPr>
              <w:pStyle w:val="28"/>
            </w:pPr>
            <w:r>
              <w:t>鼓励代表们大力发展绿色产业</w:t>
            </w:r>
          </w:p>
        </w:tc>
        <w:tc>
          <w:tcPr>
            <w:tcW w:w="2551" w:type="dxa"/>
            <w:vAlign w:val="center"/>
          </w:tcPr>
          <w:p>
            <w:pPr>
              <w:pStyle w:val="28"/>
            </w:pPr>
            <w:r>
              <w:t>促进绿色产业发展</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培训工作经济效益提升</w:t>
            </w:r>
          </w:p>
        </w:tc>
        <w:tc>
          <w:tcPr>
            <w:tcW w:w="2835" w:type="dxa"/>
            <w:vAlign w:val="center"/>
          </w:tcPr>
          <w:p>
            <w:pPr>
              <w:pStyle w:val="28"/>
            </w:pPr>
            <w:r>
              <w:t>培训工作经济效益提升</w:t>
            </w:r>
          </w:p>
        </w:tc>
        <w:tc>
          <w:tcPr>
            <w:tcW w:w="2551" w:type="dxa"/>
            <w:vAlign w:val="center"/>
          </w:tcPr>
          <w:p>
            <w:pPr>
              <w:pStyle w:val="28"/>
            </w:pPr>
            <w:r>
              <w:t>利于经济发展</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代表满意度</w:t>
            </w:r>
          </w:p>
        </w:tc>
        <w:tc>
          <w:tcPr>
            <w:tcW w:w="2551" w:type="dxa"/>
            <w:vAlign w:val="center"/>
          </w:tcPr>
          <w:p>
            <w:pPr>
              <w:pStyle w:val="28"/>
            </w:pPr>
            <w:r>
              <w:t>≥90%</w:t>
            </w:r>
          </w:p>
        </w:tc>
        <w:tc>
          <w:tcPr>
            <w:tcW w:w="2268" w:type="dxa"/>
            <w:vAlign w:val="center"/>
          </w:tcPr>
          <w:p>
            <w:pPr>
              <w:pStyle w:val="28"/>
            </w:pPr>
            <w:r>
              <w:t>依据相关政策文件确定</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2、人大代表订刊绩效目标表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1.目标内容1年内完成报刊杂志征订工作</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报刊杂志征订数量</w:t>
            </w:r>
          </w:p>
        </w:tc>
        <w:tc>
          <w:tcPr>
            <w:tcW w:w="2835" w:type="dxa"/>
            <w:vAlign w:val="center"/>
          </w:tcPr>
          <w:p>
            <w:pPr>
              <w:pStyle w:val="28"/>
            </w:pPr>
            <w:r>
              <w:t>报刊杂志征订数量</w:t>
            </w:r>
          </w:p>
        </w:tc>
        <w:tc>
          <w:tcPr>
            <w:tcW w:w="2551" w:type="dxa"/>
            <w:vAlign w:val="center"/>
          </w:tcPr>
          <w:p>
            <w:pPr>
              <w:pStyle w:val="28"/>
            </w:pPr>
            <w:r>
              <w:t>≥100%</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优良率</w:t>
            </w:r>
          </w:p>
        </w:tc>
        <w:tc>
          <w:tcPr>
            <w:tcW w:w="2835" w:type="dxa"/>
            <w:vAlign w:val="center"/>
          </w:tcPr>
          <w:p>
            <w:pPr>
              <w:pStyle w:val="28"/>
            </w:pPr>
            <w:r>
              <w:t>产生重要影响的报刊杂志占总量的百分比</w:t>
            </w:r>
          </w:p>
        </w:tc>
        <w:tc>
          <w:tcPr>
            <w:tcW w:w="2551" w:type="dxa"/>
            <w:vAlign w:val="center"/>
          </w:tcPr>
          <w:p>
            <w:pPr>
              <w:pStyle w:val="28"/>
            </w:pPr>
            <w:r>
              <w:t>≥80%</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完成率</w:t>
            </w:r>
          </w:p>
        </w:tc>
        <w:tc>
          <w:tcPr>
            <w:tcW w:w="2835" w:type="dxa"/>
            <w:vAlign w:val="center"/>
          </w:tcPr>
          <w:p>
            <w:pPr>
              <w:pStyle w:val="28"/>
            </w:pPr>
            <w:r>
              <w:t>完成征订任务占任务总数的百分比</w:t>
            </w:r>
          </w:p>
        </w:tc>
        <w:tc>
          <w:tcPr>
            <w:tcW w:w="2551" w:type="dxa"/>
            <w:vAlign w:val="center"/>
          </w:tcPr>
          <w:p>
            <w:pPr>
              <w:pStyle w:val="28"/>
            </w:pPr>
            <w:r>
              <w:t>≥90%</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控制在预算成本内</w:t>
            </w:r>
          </w:p>
        </w:tc>
        <w:tc>
          <w:tcPr>
            <w:tcW w:w="2835" w:type="dxa"/>
            <w:vAlign w:val="center"/>
          </w:tcPr>
          <w:p>
            <w:pPr>
              <w:pStyle w:val="28"/>
            </w:pPr>
            <w:r>
              <w:t>控制在预算成本内</w:t>
            </w:r>
          </w:p>
        </w:tc>
        <w:tc>
          <w:tcPr>
            <w:tcW w:w="2551" w:type="dxa"/>
            <w:vAlign w:val="center"/>
          </w:tcPr>
          <w:p>
            <w:pPr>
              <w:pStyle w:val="28"/>
            </w:pPr>
            <w:r>
              <w:t>≥80%</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可持续影响指标</w:t>
            </w:r>
          </w:p>
        </w:tc>
        <w:tc>
          <w:tcPr>
            <w:tcW w:w="2835" w:type="dxa"/>
            <w:vAlign w:val="center"/>
          </w:tcPr>
          <w:p>
            <w:pPr>
              <w:pStyle w:val="28"/>
            </w:pPr>
            <w:r>
              <w:t>影响力</w:t>
            </w:r>
          </w:p>
        </w:tc>
        <w:tc>
          <w:tcPr>
            <w:tcW w:w="2835" w:type="dxa"/>
            <w:vAlign w:val="center"/>
          </w:tcPr>
          <w:p>
            <w:pPr>
              <w:pStyle w:val="28"/>
            </w:pPr>
            <w:r>
              <w:t>能够长期较好地开展展演、展映、展播、展示，长期满足人民群众对精神文化的需求</w:t>
            </w:r>
          </w:p>
        </w:tc>
        <w:tc>
          <w:tcPr>
            <w:tcW w:w="2551" w:type="dxa"/>
            <w:vAlign w:val="center"/>
          </w:tcPr>
          <w:p>
            <w:pPr>
              <w:pStyle w:val="28"/>
            </w:pPr>
            <w:r>
              <w:t>≥80%</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对经济发展的贡献率</w:t>
            </w:r>
          </w:p>
        </w:tc>
        <w:tc>
          <w:tcPr>
            <w:tcW w:w="2835" w:type="dxa"/>
            <w:vAlign w:val="center"/>
          </w:tcPr>
          <w:p>
            <w:pPr>
              <w:pStyle w:val="28"/>
            </w:pPr>
            <w:r>
              <w:t>反映文化产业对经济发展的拉动作用</w:t>
            </w:r>
          </w:p>
        </w:tc>
        <w:tc>
          <w:tcPr>
            <w:tcW w:w="2551" w:type="dxa"/>
            <w:vAlign w:val="center"/>
          </w:tcPr>
          <w:p>
            <w:pPr>
              <w:pStyle w:val="28"/>
            </w:pPr>
            <w:r>
              <w:t>≥80%</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宣传正能量</w:t>
            </w:r>
          </w:p>
        </w:tc>
        <w:tc>
          <w:tcPr>
            <w:tcW w:w="2835" w:type="dxa"/>
            <w:vAlign w:val="center"/>
          </w:tcPr>
          <w:p>
            <w:pPr>
              <w:pStyle w:val="28"/>
            </w:pPr>
            <w:r>
              <w:t>反映新媒体、全媒体项目在宣传党和政府声音、传播正能量方面的报道情况</w:t>
            </w:r>
          </w:p>
        </w:tc>
        <w:tc>
          <w:tcPr>
            <w:tcW w:w="2551" w:type="dxa"/>
            <w:vAlign w:val="center"/>
          </w:tcPr>
          <w:p>
            <w:pPr>
              <w:pStyle w:val="28"/>
            </w:pPr>
            <w:r>
              <w:t>≥80%</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阅读者对报刊订阅工作的满意程度</w:t>
            </w:r>
          </w:p>
        </w:tc>
        <w:tc>
          <w:tcPr>
            <w:tcW w:w="2551" w:type="dxa"/>
            <w:vAlign w:val="center"/>
          </w:tcPr>
          <w:p>
            <w:pPr>
              <w:pStyle w:val="28"/>
            </w:pPr>
            <w:r>
              <w:t>≥90%</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群众满意数量占总数的比例</w:t>
            </w:r>
          </w:p>
        </w:tc>
        <w:tc>
          <w:tcPr>
            <w:tcW w:w="2551" w:type="dxa"/>
            <w:vAlign w:val="center"/>
          </w:tcPr>
          <w:p>
            <w:pPr>
              <w:pStyle w:val="28"/>
            </w:pPr>
            <w:r>
              <w:t>≥90%</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文化活动参与者满意度情况</w:t>
            </w:r>
          </w:p>
        </w:tc>
        <w:tc>
          <w:tcPr>
            <w:tcW w:w="2835" w:type="dxa"/>
            <w:vAlign w:val="center"/>
          </w:tcPr>
          <w:p>
            <w:pPr>
              <w:pStyle w:val="28"/>
            </w:pPr>
            <w:r>
              <w:t>文化活动参与者满意人数占参与人数的比例</w:t>
            </w:r>
          </w:p>
        </w:tc>
        <w:tc>
          <w:tcPr>
            <w:tcW w:w="2551" w:type="dxa"/>
            <w:vAlign w:val="center"/>
          </w:tcPr>
          <w:p>
            <w:pPr>
              <w:pStyle w:val="28"/>
            </w:pPr>
            <w:r>
              <w:t>≥90%</w:t>
            </w:r>
          </w:p>
        </w:tc>
        <w:tc>
          <w:tcPr>
            <w:tcW w:w="2268" w:type="dxa"/>
            <w:vAlign w:val="center"/>
          </w:tcPr>
          <w:p>
            <w:pPr>
              <w:pStyle w:val="28"/>
            </w:pPr>
            <w:r>
              <w:t>依据相关政策文件确定</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3、人大代表活动绩效目标表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1.目标内容1保证各项代表工作正常开展</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培训人数</w:t>
            </w:r>
          </w:p>
        </w:tc>
        <w:tc>
          <w:tcPr>
            <w:tcW w:w="2835" w:type="dxa"/>
            <w:vAlign w:val="center"/>
          </w:tcPr>
          <w:p>
            <w:pPr>
              <w:pStyle w:val="28"/>
            </w:pPr>
            <w:r>
              <w:t>培训人数</w:t>
            </w:r>
          </w:p>
        </w:tc>
        <w:tc>
          <w:tcPr>
            <w:tcW w:w="2551" w:type="dxa"/>
            <w:vAlign w:val="center"/>
          </w:tcPr>
          <w:p>
            <w:pPr>
              <w:pStyle w:val="28"/>
            </w:pPr>
            <w:r>
              <w:t>≥90%</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培训合格率</w:t>
            </w:r>
          </w:p>
        </w:tc>
        <w:tc>
          <w:tcPr>
            <w:tcW w:w="2835" w:type="dxa"/>
            <w:vAlign w:val="center"/>
          </w:tcPr>
          <w:p>
            <w:pPr>
              <w:pStyle w:val="28"/>
            </w:pPr>
            <w:r>
              <w:t>培训完成情况</w:t>
            </w:r>
          </w:p>
        </w:tc>
        <w:tc>
          <w:tcPr>
            <w:tcW w:w="2551" w:type="dxa"/>
            <w:vAlign w:val="center"/>
          </w:tcPr>
          <w:p>
            <w:pPr>
              <w:pStyle w:val="28"/>
            </w:pPr>
            <w:r>
              <w:t>实现代表履职能力提升</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会议培训完成时间</w:t>
            </w:r>
          </w:p>
          <w:p>
            <w:pPr>
              <w:pStyle w:val="28"/>
            </w:pPr>
          </w:p>
          <w:p>
            <w:pPr>
              <w:pStyle w:val="28"/>
            </w:pPr>
          </w:p>
        </w:tc>
        <w:tc>
          <w:tcPr>
            <w:tcW w:w="2835" w:type="dxa"/>
            <w:vAlign w:val="center"/>
          </w:tcPr>
          <w:p>
            <w:pPr>
              <w:pStyle w:val="28"/>
            </w:pPr>
            <w:r>
              <w:t>按时完成会议培训</w:t>
            </w:r>
          </w:p>
          <w:p>
            <w:pPr>
              <w:pStyle w:val="28"/>
            </w:pPr>
          </w:p>
        </w:tc>
        <w:tc>
          <w:tcPr>
            <w:tcW w:w="2551" w:type="dxa"/>
            <w:vAlign w:val="center"/>
          </w:tcPr>
          <w:p>
            <w:pPr>
              <w:pStyle w:val="28"/>
            </w:pPr>
            <w:r>
              <w:t>完成培训</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预算控制数</w:t>
            </w:r>
          </w:p>
        </w:tc>
        <w:tc>
          <w:tcPr>
            <w:tcW w:w="2835" w:type="dxa"/>
            <w:vAlign w:val="center"/>
          </w:tcPr>
          <w:p>
            <w:pPr>
              <w:pStyle w:val="28"/>
            </w:pPr>
            <w:r>
              <w:t>预算控制数</w:t>
            </w:r>
          </w:p>
        </w:tc>
        <w:tc>
          <w:tcPr>
            <w:tcW w:w="2551" w:type="dxa"/>
            <w:vAlign w:val="center"/>
          </w:tcPr>
          <w:p>
            <w:pPr>
              <w:pStyle w:val="28"/>
            </w:pPr>
            <w:r>
              <w:t>控制在预算范围内</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确保培训政治导向正确</w:t>
            </w:r>
          </w:p>
        </w:tc>
        <w:tc>
          <w:tcPr>
            <w:tcW w:w="2835" w:type="dxa"/>
            <w:vAlign w:val="center"/>
          </w:tcPr>
          <w:p>
            <w:pPr>
              <w:pStyle w:val="28"/>
            </w:pPr>
            <w:r>
              <w:t>培训项目不出现上级通报的意识形态重大问题（个）</w:t>
            </w:r>
          </w:p>
        </w:tc>
        <w:tc>
          <w:tcPr>
            <w:tcW w:w="2551" w:type="dxa"/>
            <w:vAlign w:val="center"/>
          </w:tcPr>
          <w:p>
            <w:pPr>
              <w:pStyle w:val="28"/>
            </w:pPr>
            <w:r>
              <w:t>绝不能出现</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达到绿色产业标准</w:t>
            </w:r>
          </w:p>
        </w:tc>
        <w:tc>
          <w:tcPr>
            <w:tcW w:w="2835" w:type="dxa"/>
            <w:vAlign w:val="center"/>
          </w:tcPr>
          <w:p>
            <w:pPr>
              <w:pStyle w:val="28"/>
            </w:pPr>
            <w:r>
              <w:t>鼓励代表们大力发展绿色产业</w:t>
            </w:r>
          </w:p>
        </w:tc>
        <w:tc>
          <w:tcPr>
            <w:tcW w:w="2551" w:type="dxa"/>
            <w:vAlign w:val="center"/>
          </w:tcPr>
          <w:p>
            <w:pPr>
              <w:pStyle w:val="28"/>
            </w:pPr>
            <w:r>
              <w:t>走绿色发展道路</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影响力</w:t>
            </w:r>
          </w:p>
        </w:tc>
        <w:tc>
          <w:tcPr>
            <w:tcW w:w="2835" w:type="dxa"/>
            <w:vAlign w:val="center"/>
          </w:tcPr>
          <w:p>
            <w:pPr>
              <w:pStyle w:val="28"/>
            </w:pPr>
            <w:r>
              <w:t>能够长期较好地代表人民利益</w:t>
            </w:r>
          </w:p>
        </w:tc>
        <w:tc>
          <w:tcPr>
            <w:tcW w:w="2551" w:type="dxa"/>
            <w:vAlign w:val="center"/>
          </w:tcPr>
          <w:p>
            <w:pPr>
              <w:pStyle w:val="28"/>
            </w:pPr>
            <w:r>
              <w:t>真正代表人民利益</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群众满意程度</w:t>
            </w:r>
          </w:p>
        </w:tc>
        <w:tc>
          <w:tcPr>
            <w:tcW w:w="2551" w:type="dxa"/>
            <w:vAlign w:val="center"/>
          </w:tcPr>
          <w:p>
            <w:pPr>
              <w:pStyle w:val="28"/>
            </w:pPr>
            <w:r>
              <w:t>≥90%</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代表满意度</w:t>
            </w:r>
          </w:p>
        </w:tc>
        <w:tc>
          <w:tcPr>
            <w:tcW w:w="2835" w:type="dxa"/>
            <w:vAlign w:val="center"/>
          </w:tcPr>
          <w:p>
            <w:pPr>
              <w:pStyle w:val="28"/>
            </w:pPr>
            <w:r>
              <w:t>代表满意程度</w:t>
            </w:r>
          </w:p>
        </w:tc>
        <w:tc>
          <w:tcPr>
            <w:tcW w:w="2551" w:type="dxa"/>
            <w:vAlign w:val="center"/>
          </w:tcPr>
          <w:p>
            <w:pPr>
              <w:pStyle w:val="28"/>
            </w:pPr>
            <w:r>
              <w:t>≥90%</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培训参与者满意度情况</w:t>
            </w:r>
          </w:p>
        </w:tc>
        <w:tc>
          <w:tcPr>
            <w:tcW w:w="2835" w:type="dxa"/>
            <w:vAlign w:val="center"/>
          </w:tcPr>
          <w:p>
            <w:pPr>
              <w:pStyle w:val="28"/>
            </w:pPr>
            <w:r>
              <w:t>培训活动参与者满意人数占参与人数的比例</w:t>
            </w:r>
          </w:p>
        </w:tc>
        <w:tc>
          <w:tcPr>
            <w:tcW w:w="2551" w:type="dxa"/>
            <w:vAlign w:val="center"/>
          </w:tcPr>
          <w:p>
            <w:pPr>
              <w:pStyle w:val="28"/>
            </w:pPr>
            <w:r>
              <w:t>≥90%</w:t>
            </w:r>
          </w:p>
        </w:tc>
        <w:tc>
          <w:tcPr>
            <w:tcW w:w="2268" w:type="dxa"/>
            <w:vAlign w:val="center"/>
          </w:tcPr>
          <w:p>
            <w:pPr>
              <w:pStyle w:val="28"/>
            </w:pPr>
            <w:r>
              <w:t>依据相关政策文件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4、人大会议费绩效目标表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1.目标内容1确保县人大代表会议召开成功</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召开会议次数</w:t>
            </w:r>
          </w:p>
        </w:tc>
        <w:tc>
          <w:tcPr>
            <w:tcW w:w="2835" w:type="dxa"/>
            <w:vAlign w:val="center"/>
          </w:tcPr>
          <w:p>
            <w:pPr>
              <w:pStyle w:val="28"/>
            </w:pPr>
            <w:r>
              <w:t>召开会议次数</w:t>
            </w:r>
          </w:p>
        </w:tc>
        <w:tc>
          <w:tcPr>
            <w:tcW w:w="2551" w:type="dxa"/>
            <w:vAlign w:val="center"/>
          </w:tcPr>
          <w:p>
            <w:pPr>
              <w:pStyle w:val="28"/>
            </w:pPr>
            <w:r>
              <w:t>召开</w:t>
            </w:r>
          </w:p>
        </w:tc>
        <w:tc>
          <w:tcPr>
            <w:tcW w:w="2268" w:type="dxa"/>
            <w:vAlign w:val="center"/>
          </w:tcPr>
          <w:p>
            <w:pPr>
              <w:pStyle w:val="28"/>
            </w:pPr>
            <w: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会议落实情况</w:t>
            </w:r>
          </w:p>
        </w:tc>
        <w:tc>
          <w:tcPr>
            <w:tcW w:w="2835" w:type="dxa"/>
            <w:vAlign w:val="center"/>
          </w:tcPr>
          <w:p>
            <w:pPr>
              <w:pStyle w:val="28"/>
            </w:pPr>
            <w:r>
              <w:t>会议精神传达落实情况</w:t>
            </w:r>
          </w:p>
        </w:tc>
        <w:tc>
          <w:tcPr>
            <w:tcW w:w="2551" w:type="dxa"/>
            <w:vAlign w:val="center"/>
          </w:tcPr>
          <w:p>
            <w:pPr>
              <w:pStyle w:val="28"/>
            </w:pPr>
            <w:r>
              <w:t>有效传达</w:t>
            </w:r>
          </w:p>
        </w:tc>
        <w:tc>
          <w:tcPr>
            <w:tcW w:w="2268" w:type="dxa"/>
            <w:vAlign w:val="center"/>
          </w:tcPr>
          <w:p>
            <w:pPr>
              <w:pStyle w:val="28"/>
            </w:pPr>
            <w: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会议按预期召开</w:t>
            </w:r>
          </w:p>
        </w:tc>
        <w:tc>
          <w:tcPr>
            <w:tcW w:w="2835" w:type="dxa"/>
            <w:vAlign w:val="center"/>
          </w:tcPr>
          <w:p>
            <w:pPr>
              <w:pStyle w:val="28"/>
            </w:pPr>
            <w:r>
              <w:t>会议按预期召开</w:t>
            </w:r>
          </w:p>
        </w:tc>
        <w:tc>
          <w:tcPr>
            <w:tcW w:w="2551" w:type="dxa"/>
            <w:vAlign w:val="center"/>
          </w:tcPr>
          <w:p>
            <w:pPr>
              <w:pStyle w:val="28"/>
            </w:pPr>
            <w:r>
              <w:t>如期召开</w:t>
            </w:r>
          </w:p>
        </w:tc>
        <w:tc>
          <w:tcPr>
            <w:tcW w:w="2268" w:type="dxa"/>
            <w:vAlign w:val="center"/>
          </w:tcPr>
          <w:p>
            <w:pPr>
              <w:pStyle w:val="28"/>
            </w:pPr>
            <w: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控制在预算成本内</w:t>
            </w:r>
          </w:p>
        </w:tc>
        <w:tc>
          <w:tcPr>
            <w:tcW w:w="2835" w:type="dxa"/>
            <w:vAlign w:val="center"/>
          </w:tcPr>
          <w:p>
            <w:pPr>
              <w:pStyle w:val="28"/>
            </w:pPr>
            <w:r>
              <w:t>控制在预算成本内</w:t>
            </w:r>
          </w:p>
        </w:tc>
        <w:tc>
          <w:tcPr>
            <w:tcW w:w="2551" w:type="dxa"/>
            <w:vAlign w:val="center"/>
          </w:tcPr>
          <w:p>
            <w:pPr>
              <w:pStyle w:val="28"/>
            </w:pPr>
            <w:r>
              <w:t>≥90%</w:t>
            </w:r>
          </w:p>
        </w:tc>
        <w:tc>
          <w:tcPr>
            <w:tcW w:w="2268" w:type="dxa"/>
            <w:vAlign w:val="center"/>
          </w:tcPr>
          <w:p>
            <w:pPr>
              <w:pStyle w:val="28"/>
            </w:pPr>
            <w: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可持续影响指标</w:t>
            </w:r>
          </w:p>
        </w:tc>
        <w:tc>
          <w:tcPr>
            <w:tcW w:w="2835" w:type="dxa"/>
            <w:vAlign w:val="center"/>
          </w:tcPr>
          <w:p>
            <w:pPr>
              <w:pStyle w:val="28"/>
            </w:pPr>
            <w:r>
              <w:t>提案采纳率</w:t>
            </w:r>
          </w:p>
        </w:tc>
        <w:tc>
          <w:tcPr>
            <w:tcW w:w="2835" w:type="dxa"/>
            <w:vAlign w:val="center"/>
          </w:tcPr>
          <w:p>
            <w:pPr>
              <w:pStyle w:val="28"/>
            </w:pPr>
            <w:r>
              <w:t>被采纳的提案率占总数量的比率</w:t>
            </w:r>
          </w:p>
        </w:tc>
        <w:tc>
          <w:tcPr>
            <w:tcW w:w="2551" w:type="dxa"/>
            <w:vAlign w:val="center"/>
          </w:tcPr>
          <w:p>
            <w:pPr>
              <w:pStyle w:val="28"/>
            </w:pPr>
            <w:r>
              <w:t>≥90%</w:t>
            </w:r>
          </w:p>
        </w:tc>
        <w:tc>
          <w:tcPr>
            <w:tcW w:w="2268" w:type="dxa"/>
            <w:vAlign w:val="center"/>
          </w:tcPr>
          <w:p>
            <w:pPr>
              <w:pStyle w:val="28"/>
            </w:pPr>
            <w: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资金的使用效率</w:t>
            </w:r>
          </w:p>
        </w:tc>
        <w:tc>
          <w:tcPr>
            <w:tcW w:w="2835" w:type="dxa"/>
            <w:vAlign w:val="center"/>
          </w:tcPr>
          <w:p>
            <w:pPr>
              <w:pStyle w:val="28"/>
            </w:pPr>
            <w:r>
              <w:t>资金的使用效率</w:t>
            </w:r>
          </w:p>
        </w:tc>
        <w:tc>
          <w:tcPr>
            <w:tcW w:w="2551" w:type="dxa"/>
            <w:vAlign w:val="center"/>
          </w:tcPr>
          <w:p>
            <w:pPr>
              <w:pStyle w:val="28"/>
            </w:pPr>
            <w:r>
              <w:t>≥90%</w:t>
            </w:r>
          </w:p>
        </w:tc>
        <w:tc>
          <w:tcPr>
            <w:tcW w:w="2268" w:type="dxa"/>
            <w:vAlign w:val="center"/>
          </w:tcPr>
          <w:p>
            <w:pPr>
              <w:pStyle w:val="28"/>
            </w:pPr>
            <w: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意见建议采纳率</w:t>
            </w:r>
          </w:p>
        </w:tc>
        <w:tc>
          <w:tcPr>
            <w:tcW w:w="2835" w:type="dxa"/>
            <w:vAlign w:val="center"/>
          </w:tcPr>
          <w:p>
            <w:pPr>
              <w:pStyle w:val="28"/>
            </w:pPr>
            <w:r>
              <w:t>被采纳意见建议数量占总数量比率</w:t>
            </w:r>
          </w:p>
        </w:tc>
        <w:tc>
          <w:tcPr>
            <w:tcW w:w="2551" w:type="dxa"/>
            <w:vAlign w:val="center"/>
          </w:tcPr>
          <w:p>
            <w:pPr>
              <w:pStyle w:val="28"/>
            </w:pPr>
            <w:r>
              <w:t>≥90%</w:t>
            </w:r>
          </w:p>
        </w:tc>
        <w:tc>
          <w:tcPr>
            <w:tcW w:w="2268" w:type="dxa"/>
            <w:vAlign w:val="center"/>
          </w:tcPr>
          <w:p>
            <w:pPr>
              <w:pStyle w:val="28"/>
            </w:pPr>
            <w: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群众对当会议整体满意度</w:t>
            </w:r>
          </w:p>
        </w:tc>
        <w:tc>
          <w:tcPr>
            <w:tcW w:w="2551" w:type="dxa"/>
            <w:vAlign w:val="center"/>
          </w:tcPr>
          <w:p>
            <w:pPr>
              <w:pStyle w:val="28"/>
            </w:pPr>
            <w:r>
              <w:t>满意</w:t>
            </w:r>
          </w:p>
        </w:tc>
        <w:tc>
          <w:tcPr>
            <w:tcW w:w="2268" w:type="dxa"/>
            <w:vAlign w:val="center"/>
          </w:tcPr>
          <w:p>
            <w:pPr>
              <w:pStyle w:val="28"/>
            </w:pPr>
            <w: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人民群众对人大工作的满意程度</w:t>
            </w:r>
          </w:p>
        </w:tc>
        <w:tc>
          <w:tcPr>
            <w:tcW w:w="2551" w:type="dxa"/>
            <w:vAlign w:val="center"/>
          </w:tcPr>
          <w:p>
            <w:pPr>
              <w:pStyle w:val="28"/>
            </w:pPr>
            <w:r>
              <w:t>满意</w:t>
            </w:r>
          </w:p>
        </w:tc>
        <w:tc>
          <w:tcPr>
            <w:tcW w:w="2268" w:type="dxa"/>
            <w:vAlign w:val="center"/>
          </w:tcPr>
          <w:p>
            <w:pPr>
              <w:pStyle w:val="28"/>
            </w:pPr>
            <w: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人大工作参与者满意度情况</w:t>
            </w:r>
          </w:p>
        </w:tc>
        <w:tc>
          <w:tcPr>
            <w:tcW w:w="2835" w:type="dxa"/>
            <w:vAlign w:val="center"/>
          </w:tcPr>
          <w:p>
            <w:pPr>
              <w:pStyle w:val="28"/>
            </w:pPr>
            <w:r>
              <w:t>人大工作参与者满意人数占参与人数的比例</w:t>
            </w:r>
          </w:p>
        </w:tc>
        <w:tc>
          <w:tcPr>
            <w:tcW w:w="2551" w:type="dxa"/>
            <w:vAlign w:val="center"/>
          </w:tcPr>
          <w:p>
            <w:pPr>
              <w:pStyle w:val="28"/>
            </w:pPr>
            <w:r>
              <w:t>满意</w:t>
            </w:r>
          </w:p>
        </w:tc>
        <w:tc>
          <w:tcPr>
            <w:tcW w:w="2268" w:type="dxa"/>
            <w:vAlign w:val="center"/>
          </w:tcPr>
          <w:p>
            <w:pPr>
              <w:pStyle w:val="28"/>
            </w:pPr>
            <w:r>
              <w:t>依据单位指标考核</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5、人大专项工作经费绩效目标表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1.目标内容1保证人大机关正常运行</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覆盖率</w:t>
            </w:r>
          </w:p>
        </w:tc>
        <w:tc>
          <w:tcPr>
            <w:tcW w:w="2835" w:type="dxa"/>
            <w:vAlign w:val="center"/>
          </w:tcPr>
          <w:p>
            <w:pPr>
              <w:pStyle w:val="28"/>
            </w:pPr>
            <w:r>
              <w:t>人大监督范围</w:t>
            </w:r>
          </w:p>
        </w:tc>
        <w:tc>
          <w:tcPr>
            <w:tcW w:w="2551" w:type="dxa"/>
            <w:vAlign w:val="center"/>
          </w:tcPr>
          <w:p>
            <w:pPr>
              <w:pStyle w:val="28"/>
            </w:pPr>
            <w:r>
              <w:t>≥80%</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重要工作督办完成率</w:t>
            </w:r>
          </w:p>
          <w:p>
            <w:pPr>
              <w:pStyle w:val="28"/>
            </w:pPr>
          </w:p>
          <w:p>
            <w:pPr>
              <w:pStyle w:val="28"/>
            </w:pPr>
          </w:p>
        </w:tc>
        <w:tc>
          <w:tcPr>
            <w:tcW w:w="2835" w:type="dxa"/>
            <w:vAlign w:val="center"/>
          </w:tcPr>
          <w:p>
            <w:pPr>
              <w:pStyle w:val="28"/>
            </w:pPr>
            <w:r>
              <w:t>重要工作有效完成督办</w:t>
            </w:r>
          </w:p>
          <w:p>
            <w:pPr>
              <w:pStyle w:val="28"/>
            </w:pPr>
          </w:p>
        </w:tc>
        <w:tc>
          <w:tcPr>
            <w:tcW w:w="2551" w:type="dxa"/>
            <w:vAlign w:val="center"/>
          </w:tcPr>
          <w:p>
            <w:pPr>
              <w:pStyle w:val="28"/>
            </w:pPr>
            <w:r>
              <w:t>≥80%</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开展工作时效性</w:t>
            </w:r>
          </w:p>
          <w:p>
            <w:pPr>
              <w:pStyle w:val="28"/>
            </w:pPr>
          </w:p>
          <w:p>
            <w:pPr>
              <w:pStyle w:val="28"/>
            </w:pPr>
          </w:p>
        </w:tc>
        <w:tc>
          <w:tcPr>
            <w:tcW w:w="2835" w:type="dxa"/>
            <w:vAlign w:val="center"/>
          </w:tcPr>
          <w:p>
            <w:pPr>
              <w:pStyle w:val="28"/>
            </w:pPr>
            <w:r>
              <w:t>开展工作按时有效</w:t>
            </w:r>
          </w:p>
          <w:p>
            <w:pPr>
              <w:pStyle w:val="28"/>
            </w:pPr>
          </w:p>
        </w:tc>
        <w:tc>
          <w:tcPr>
            <w:tcW w:w="2551" w:type="dxa"/>
            <w:vAlign w:val="center"/>
          </w:tcPr>
          <w:p>
            <w:pPr>
              <w:pStyle w:val="28"/>
            </w:pPr>
            <w:r>
              <w:t>≥80%</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控制在预算成本内</w:t>
            </w:r>
          </w:p>
        </w:tc>
        <w:tc>
          <w:tcPr>
            <w:tcW w:w="2835" w:type="dxa"/>
            <w:vAlign w:val="center"/>
          </w:tcPr>
          <w:p>
            <w:pPr>
              <w:pStyle w:val="28"/>
            </w:pPr>
            <w:r>
              <w:t>控制在预算成本内</w:t>
            </w:r>
          </w:p>
        </w:tc>
        <w:tc>
          <w:tcPr>
            <w:tcW w:w="2551" w:type="dxa"/>
            <w:vAlign w:val="center"/>
          </w:tcPr>
          <w:p>
            <w:pPr>
              <w:pStyle w:val="28"/>
            </w:pPr>
            <w:r>
              <w:t>≥90%</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可持续影响指标</w:t>
            </w:r>
          </w:p>
        </w:tc>
        <w:tc>
          <w:tcPr>
            <w:tcW w:w="2835" w:type="dxa"/>
            <w:vAlign w:val="center"/>
          </w:tcPr>
          <w:p>
            <w:pPr>
              <w:pStyle w:val="28"/>
            </w:pPr>
            <w:r>
              <w:t>提高政府公信力</w:t>
            </w:r>
          </w:p>
        </w:tc>
        <w:tc>
          <w:tcPr>
            <w:tcW w:w="2835" w:type="dxa"/>
            <w:vAlign w:val="center"/>
          </w:tcPr>
          <w:p>
            <w:pPr>
              <w:pStyle w:val="28"/>
            </w:pPr>
            <w:r>
              <w:t>通过人大监督提高利于转变政府职能，提高政府服务人民的能力</w:t>
            </w:r>
          </w:p>
        </w:tc>
        <w:tc>
          <w:tcPr>
            <w:tcW w:w="2551" w:type="dxa"/>
            <w:vAlign w:val="center"/>
          </w:tcPr>
          <w:p>
            <w:pPr>
              <w:pStyle w:val="28"/>
            </w:pPr>
            <w:r>
              <w:t>促进政府职能转变</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问题整改挽回损失金额比率</w:t>
            </w:r>
          </w:p>
        </w:tc>
        <w:tc>
          <w:tcPr>
            <w:tcW w:w="2835" w:type="dxa"/>
            <w:vAlign w:val="center"/>
          </w:tcPr>
          <w:p>
            <w:pPr>
              <w:pStyle w:val="28"/>
            </w:pPr>
            <w:r>
              <w:t>问题整改挽回损失金额占挽回损失总金额的百分比</w:t>
            </w:r>
          </w:p>
        </w:tc>
        <w:tc>
          <w:tcPr>
            <w:tcW w:w="2551" w:type="dxa"/>
            <w:vAlign w:val="center"/>
          </w:tcPr>
          <w:p>
            <w:pPr>
              <w:pStyle w:val="28"/>
            </w:pPr>
            <w:r>
              <w:t>≥75%</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爱国主义教育基地参观学习人次</w:t>
            </w:r>
          </w:p>
        </w:tc>
        <w:tc>
          <w:tcPr>
            <w:tcW w:w="2835" w:type="dxa"/>
            <w:vAlign w:val="center"/>
          </w:tcPr>
          <w:p>
            <w:pPr>
              <w:pStyle w:val="28"/>
            </w:pPr>
            <w:r>
              <w:t>组织前往爱国主义教育基地参观的数量（人次）</w:t>
            </w:r>
          </w:p>
        </w:tc>
        <w:tc>
          <w:tcPr>
            <w:tcW w:w="2551" w:type="dxa"/>
            <w:vAlign w:val="center"/>
          </w:tcPr>
          <w:p>
            <w:pPr>
              <w:pStyle w:val="28"/>
            </w:pPr>
            <w:r>
              <w:t>200</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人民群众满意程度</w:t>
            </w:r>
          </w:p>
        </w:tc>
        <w:tc>
          <w:tcPr>
            <w:tcW w:w="2551" w:type="dxa"/>
            <w:vAlign w:val="center"/>
          </w:tcPr>
          <w:p>
            <w:pPr>
              <w:pStyle w:val="28"/>
            </w:pPr>
            <w:r>
              <w:t>满意</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群众满意数量占总数的比例</w:t>
            </w:r>
          </w:p>
        </w:tc>
        <w:tc>
          <w:tcPr>
            <w:tcW w:w="2551" w:type="dxa"/>
            <w:vAlign w:val="center"/>
          </w:tcPr>
          <w:p>
            <w:pPr>
              <w:pStyle w:val="28"/>
            </w:pPr>
            <w:r>
              <w:t>≥85%</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群众对当年人大监督工作的整体满意度</w:t>
            </w:r>
          </w:p>
        </w:tc>
        <w:tc>
          <w:tcPr>
            <w:tcW w:w="2551" w:type="dxa"/>
            <w:vAlign w:val="center"/>
          </w:tcPr>
          <w:p>
            <w:pPr>
              <w:pStyle w:val="28"/>
            </w:pPr>
            <w:r>
              <w:t>满意</w:t>
            </w:r>
          </w:p>
        </w:tc>
        <w:tc>
          <w:tcPr>
            <w:tcW w:w="2268" w:type="dxa"/>
            <w:vAlign w:val="center"/>
          </w:tcPr>
          <w:p>
            <w:pPr>
              <w:pStyle w:val="28"/>
            </w:pPr>
            <w:r>
              <w:t>依据相关政策文件确定</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6、五星代表之家联络站绩效目标表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1.目标内容1高质量组织代表培训学习，提高代表履职能力</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家站利用率</w:t>
            </w:r>
          </w:p>
        </w:tc>
        <w:tc>
          <w:tcPr>
            <w:tcW w:w="2835" w:type="dxa"/>
            <w:vAlign w:val="center"/>
          </w:tcPr>
          <w:p>
            <w:pPr>
              <w:pStyle w:val="28"/>
            </w:pPr>
            <w:r>
              <w:t>依托家站组织培训学习活动次数</w:t>
            </w:r>
          </w:p>
        </w:tc>
        <w:tc>
          <w:tcPr>
            <w:tcW w:w="2551" w:type="dxa"/>
            <w:vAlign w:val="center"/>
          </w:tcPr>
          <w:p>
            <w:pPr>
              <w:pStyle w:val="28"/>
            </w:pPr>
            <w:r>
              <w:t>＞85利用率在85%以上</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提高代表履职能力</w:t>
            </w:r>
          </w:p>
        </w:tc>
        <w:tc>
          <w:tcPr>
            <w:tcW w:w="2835" w:type="dxa"/>
            <w:vAlign w:val="center"/>
          </w:tcPr>
          <w:p>
            <w:pPr>
              <w:pStyle w:val="28"/>
            </w:pPr>
            <w:r>
              <w:t>代表依法履职步入制度化、常态化轨道</w:t>
            </w:r>
          </w:p>
        </w:tc>
        <w:tc>
          <w:tcPr>
            <w:tcW w:w="2551" w:type="dxa"/>
            <w:vAlign w:val="center"/>
          </w:tcPr>
          <w:p>
            <w:pPr>
              <w:pStyle w:val="28"/>
            </w:pPr>
            <w:r>
              <w:t>代表依法履职步入制度化、常态化轨道</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及时性</w:t>
            </w:r>
          </w:p>
        </w:tc>
        <w:tc>
          <w:tcPr>
            <w:tcW w:w="2835" w:type="dxa"/>
            <w:vAlign w:val="center"/>
          </w:tcPr>
          <w:p>
            <w:pPr>
              <w:pStyle w:val="28"/>
            </w:pPr>
            <w:r>
              <w:t>及时高效征集意见建议</w:t>
            </w:r>
          </w:p>
        </w:tc>
        <w:tc>
          <w:tcPr>
            <w:tcW w:w="2551" w:type="dxa"/>
            <w:vAlign w:val="center"/>
          </w:tcPr>
          <w:p>
            <w:pPr>
              <w:pStyle w:val="28"/>
            </w:pPr>
            <w:r>
              <w:t>及时高效</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控制在预算成本内</w:t>
            </w:r>
          </w:p>
        </w:tc>
        <w:tc>
          <w:tcPr>
            <w:tcW w:w="2835" w:type="dxa"/>
            <w:vAlign w:val="center"/>
          </w:tcPr>
          <w:p>
            <w:pPr>
              <w:pStyle w:val="28"/>
            </w:pPr>
            <w:r>
              <w:t>控制在预算成本内</w:t>
            </w:r>
          </w:p>
        </w:tc>
        <w:tc>
          <w:tcPr>
            <w:tcW w:w="2551" w:type="dxa"/>
            <w:vAlign w:val="center"/>
          </w:tcPr>
          <w:p>
            <w:pPr>
              <w:pStyle w:val="28"/>
            </w:pPr>
            <w:r>
              <w:t>≥90严控成本</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满足群众需求</w:t>
            </w:r>
          </w:p>
        </w:tc>
        <w:tc>
          <w:tcPr>
            <w:tcW w:w="2835" w:type="dxa"/>
            <w:vAlign w:val="center"/>
          </w:tcPr>
          <w:p>
            <w:pPr>
              <w:pStyle w:val="28"/>
            </w:pPr>
            <w:r>
              <w:t>满足群众反映实际问题的要求</w:t>
            </w:r>
          </w:p>
        </w:tc>
        <w:tc>
          <w:tcPr>
            <w:tcW w:w="2551" w:type="dxa"/>
            <w:vAlign w:val="center"/>
          </w:tcPr>
          <w:p>
            <w:pPr>
              <w:pStyle w:val="28"/>
            </w:pPr>
            <w:r>
              <w:t>≥90较好的满足群众反映实际问题的要求</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充分发挥联系服务群众作用</w:t>
            </w:r>
          </w:p>
        </w:tc>
        <w:tc>
          <w:tcPr>
            <w:tcW w:w="2835" w:type="dxa"/>
            <w:vAlign w:val="center"/>
          </w:tcPr>
          <w:p>
            <w:pPr>
              <w:pStyle w:val="28"/>
            </w:pPr>
            <w:r>
              <w:t>充分发挥联系服务群众作用</w:t>
            </w:r>
          </w:p>
        </w:tc>
        <w:tc>
          <w:tcPr>
            <w:tcW w:w="2551" w:type="dxa"/>
            <w:vAlign w:val="center"/>
          </w:tcPr>
          <w:p>
            <w:pPr>
              <w:pStyle w:val="28"/>
            </w:pPr>
            <w:r>
              <w:t>＞85充分发挥联系服务群众作用</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长期使用性</w:t>
            </w:r>
          </w:p>
        </w:tc>
        <w:tc>
          <w:tcPr>
            <w:tcW w:w="2835" w:type="dxa"/>
            <w:vAlign w:val="center"/>
          </w:tcPr>
          <w:p>
            <w:pPr>
              <w:pStyle w:val="28"/>
            </w:pPr>
            <w:r>
              <w:t>长期使用</w:t>
            </w:r>
          </w:p>
        </w:tc>
        <w:tc>
          <w:tcPr>
            <w:tcW w:w="2551" w:type="dxa"/>
            <w:vAlign w:val="center"/>
          </w:tcPr>
          <w:p>
            <w:pPr>
              <w:pStyle w:val="28"/>
            </w:pPr>
            <w:r>
              <w:t>长期使用</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达到绿色产业标准</w:t>
            </w:r>
          </w:p>
        </w:tc>
        <w:tc>
          <w:tcPr>
            <w:tcW w:w="2835" w:type="dxa"/>
            <w:vAlign w:val="center"/>
          </w:tcPr>
          <w:p>
            <w:pPr>
              <w:pStyle w:val="28"/>
            </w:pPr>
            <w:r>
              <w:t>达到绿色产业标准</w:t>
            </w:r>
          </w:p>
        </w:tc>
        <w:tc>
          <w:tcPr>
            <w:tcW w:w="2551" w:type="dxa"/>
            <w:vAlign w:val="center"/>
          </w:tcPr>
          <w:p>
            <w:pPr>
              <w:pStyle w:val="28"/>
            </w:pPr>
            <w:r>
              <w:t>≥80推动绿色产业发展</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群众对代表履职情况的满意度</w:t>
            </w:r>
          </w:p>
        </w:tc>
        <w:tc>
          <w:tcPr>
            <w:tcW w:w="2551" w:type="dxa"/>
            <w:vAlign w:val="center"/>
          </w:tcPr>
          <w:p>
            <w:pPr>
              <w:pStyle w:val="28"/>
            </w:pPr>
            <w:r>
              <w:t>＞90群众满意度高于90%</w:t>
            </w:r>
          </w:p>
        </w:tc>
        <w:tc>
          <w:tcPr>
            <w:tcW w:w="2268" w:type="dxa"/>
            <w:vAlign w:val="center"/>
          </w:tcPr>
          <w:p>
            <w:pPr>
              <w:pStyle w:val="28"/>
            </w:pPr>
            <w:r>
              <w:t>依据相关政策文件确定</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2022年，玉田县人民代表大会常务委员会安排政府采购预算0.00万元。具体内容见下表。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101玉田县人民代表大会常务委员会</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玉田县人民代表大会常务委员会（含所属单位）上年末固定资产金额为1061600.00万元（详见下表）。本年度拟购置固定资产总额为0.00万元，已按要求列入政府采购预算，详见政府采购预算表。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101玉田县人民代表大会常务委员会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1061600.00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5</w:t>
            </w:r>
          </w:p>
        </w:tc>
        <w:tc>
          <w:tcPr>
            <w:tcW w:w="2835" w:type="dxa"/>
            <w:vAlign w:val="center"/>
          </w:tcPr>
          <w:p>
            <w:pPr>
              <w:pStyle w:val="13"/>
            </w:pPr>
            <w:r>
              <w:t>1061600.00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一、玉田县人民代表大会常务委员会本级收支预算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101001玉田县人民代表大会常务委员会本级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7325014.75</w:t>
            </w:r>
          </w:p>
        </w:tc>
        <w:tc>
          <w:tcPr>
            <w:tcW w:w="4535" w:type="dxa"/>
            <w:vAlign w:val="center"/>
          </w:tcPr>
          <w:p>
            <w:pPr>
              <w:pStyle w:val="14"/>
            </w:pPr>
            <w:r>
              <w:t>一、一般公共服务支出</w:t>
            </w:r>
          </w:p>
        </w:tc>
        <w:tc>
          <w:tcPr>
            <w:tcW w:w="2126" w:type="dxa"/>
            <w:vAlign w:val="center"/>
          </w:tcPr>
          <w:p>
            <w:pPr>
              <w:pStyle w:val="13"/>
            </w:pPr>
            <w:r>
              <w:t>7325014.75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7325014.75</w:t>
            </w:r>
          </w:p>
        </w:tc>
        <w:tc>
          <w:tcPr>
            <w:tcW w:w="4535" w:type="dxa"/>
            <w:vAlign w:val="center"/>
          </w:tcPr>
          <w:p>
            <w:pPr>
              <w:pStyle w:val="16"/>
            </w:pPr>
            <w:r>
              <w:t>本年支出合计</w:t>
            </w:r>
          </w:p>
        </w:tc>
        <w:tc>
          <w:tcPr>
            <w:tcW w:w="2126" w:type="dxa"/>
            <w:vAlign w:val="center"/>
          </w:tcPr>
          <w:p>
            <w:pPr>
              <w:pStyle w:val="17"/>
            </w:pPr>
            <w:r>
              <w:t>7325014.75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7325014.75</w:t>
            </w:r>
          </w:p>
        </w:tc>
        <w:tc>
          <w:tcPr>
            <w:tcW w:w="4535" w:type="dxa"/>
            <w:vAlign w:val="center"/>
          </w:tcPr>
          <w:p>
            <w:pPr>
              <w:pStyle w:val="16"/>
            </w:pPr>
            <w:r>
              <w:t>支出总计</w:t>
            </w:r>
          </w:p>
        </w:tc>
        <w:tc>
          <w:tcPr>
            <w:tcW w:w="2126" w:type="dxa"/>
            <w:vAlign w:val="center"/>
          </w:tcPr>
          <w:p>
            <w:pPr>
              <w:pStyle w:val="17"/>
            </w:pPr>
            <w:r>
              <w:t>7325014.75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101001玉田县人民代表大会常务委员会本级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7325014.75</w:t>
            </w:r>
          </w:p>
        </w:tc>
        <w:tc>
          <w:tcPr>
            <w:tcW w:w="1134" w:type="dxa"/>
            <w:vAlign w:val="center"/>
          </w:tcPr>
          <w:p>
            <w:pPr>
              <w:pStyle w:val="17"/>
            </w:pPr>
            <w:r>
              <w:t>7325014.75</w:t>
            </w:r>
          </w:p>
        </w:tc>
        <w:tc>
          <w:tcPr>
            <w:tcW w:w="1134" w:type="dxa"/>
            <w:vAlign w:val="center"/>
          </w:tcPr>
          <w:p>
            <w:pPr>
              <w:pStyle w:val="17"/>
            </w:pPr>
            <w:r>
              <w:t>7325014.75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7325014.75</w:t>
            </w:r>
          </w:p>
        </w:tc>
        <w:tc>
          <w:tcPr>
            <w:tcW w:w="1134" w:type="dxa"/>
            <w:vAlign w:val="center"/>
          </w:tcPr>
          <w:p>
            <w:pPr>
              <w:pStyle w:val="13"/>
            </w:pPr>
            <w:r>
              <w:t>7325014.75</w:t>
            </w:r>
          </w:p>
        </w:tc>
        <w:tc>
          <w:tcPr>
            <w:tcW w:w="1134" w:type="dxa"/>
            <w:vAlign w:val="center"/>
          </w:tcPr>
          <w:p>
            <w:pPr>
              <w:pStyle w:val="13"/>
            </w:pPr>
            <w:r>
              <w:t>7325014.75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7325014.75</w:t>
            </w:r>
          </w:p>
        </w:tc>
        <w:tc>
          <w:tcPr>
            <w:tcW w:w="1134" w:type="dxa"/>
            <w:vAlign w:val="center"/>
          </w:tcPr>
          <w:p>
            <w:pPr>
              <w:pStyle w:val="13"/>
            </w:pPr>
            <w:r>
              <w:t>7325014.75</w:t>
            </w:r>
          </w:p>
        </w:tc>
        <w:tc>
          <w:tcPr>
            <w:tcW w:w="1134" w:type="dxa"/>
            <w:vAlign w:val="center"/>
          </w:tcPr>
          <w:p>
            <w:pPr>
              <w:pStyle w:val="13"/>
            </w:pPr>
            <w:r>
              <w:t>7325014.75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2010101</w:t>
            </w:r>
          </w:p>
        </w:tc>
        <w:tc>
          <w:tcPr>
            <w:tcW w:w="1559" w:type="dxa"/>
            <w:vAlign w:val="center"/>
          </w:tcPr>
          <w:p>
            <w:pPr>
              <w:pStyle w:val="14"/>
            </w:pPr>
            <w:r>
              <w:t>行政运行</w:t>
            </w:r>
          </w:p>
        </w:tc>
        <w:tc>
          <w:tcPr>
            <w:tcW w:w="1134" w:type="dxa"/>
            <w:vAlign w:val="center"/>
          </w:tcPr>
          <w:p>
            <w:pPr>
              <w:pStyle w:val="13"/>
            </w:pPr>
            <w:r>
              <w:t>6212114.75</w:t>
            </w:r>
          </w:p>
        </w:tc>
        <w:tc>
          <w:tcPr>
            <w:tcW w:w="1134" w:type="dxa"/>
            <w:vAlign w:val="center"/>
          </w:tcPr>
          <w:p>
            <w:pPr>
              <w:pStyle w:val="13"/>
            </w:pPr>
            <w:r>
              <w:t>6212114.75</w:t>
            </w:r>
          </w:p>
        </w:tc>
        <w:tc>
          <w:tcPr>
            <w:tcW w:w="1134" w:type="dxa"/>
            <w:vAlign w:val="center"/>
          </w:tcPr>
          <w:p>
            <w:pPr>
              <w:pStyle w:val="13"/>
            </w:pPr>
            <w:r>
              <w:t>6212114.75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2010104</w:t>
            </w:r>
          </w:p>
        </w:tc>
        <w:tc>
          <w:tcPr>
            <w:tcW w:w="1559" w:type="dxa"/>
            <w:vAlign w:val="center"/>
          </w:tcPr>
          <w:p>
            <w:pPr>
              <w:pStyle w:val="14"/>
            </w:pPr>
            <w:r>
              <w:t>人大会议</w:t>
            </w:r>
          </w:p>
        </w:tc>
        <w:tc>
          <w:tcPr>
            <w:tcW w:w="1134" w:type="dxa"/>
            <w:vAlign w:val="center"/>
          </w:tcPr>
          <w:p>
            <w:pPr>
              <w:pStyle w:val="13"/>
            </w:pPr>
            <w:r>
              <w:t>440000.00</w:t>
            </w:r>
          </w:p>
        </w:tc>
        <w:tc>
          <w:tcPr>
            <w:tcW w:w="1134" w:type="dxa"/>
            <w:vAlign w:val="center"/>
          </w:tcPr>
          <w:p>
            <w:pPr>
              <w:pStyle w:val="13"/>
            </w:pPr>
            <w:r>
              <w:t>440000.00</w:t>
            </w:r>
          </w:p>
        </w:tc>
        <w:tc>
          <w:tcPr>
            <w:tcW w:w="1134" w:type="dxa"/>
            <w:vAlign w:val="center"/>
          </w:tcPr>
          <w:p>
            <w:pPr>
              <w:pStyle w:val="13"/>
            </w:pPr>
            <w:r>
              <w:t>440000.00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2010106</w:t>
            </w:r>
          </w:p>
        </w:tc>
        <w:tc>
          <w:tcPr>
            <w:tcW w:w="1559" w:type="dxa"/>
            <w:vAlign w:val="center"/>
          </w:tcPr>
          <w:p>
            <w:pPr>
              <w:pStyle w:val="14"/>
            </w:pPr>
            <w:r>
              <w:t>人大监督</w:t>
            </w:r>
          </w:p>
        </w:tc>
        <w:tc>
          <w:tcPr>
            <w:tcW w:w="1134" w:type="dxa"/>
            <w:vAlign w:val="center"/>
          </w:tcPr>
          <w:p>
            <w:pPr>
              <w:pStyle w:val="13"/>
            </w:pPr>
            <w:r>
              <w:t>515900.00</w:t>
            </w:r>
          </w:p>
        </w:tc>
        <w:tc>
          <w:tcPr>
            <w:tcW w:w="1134" w:type="dxa"/>
            <w:vAlign w:val="center"/>
          </w:tcPr>
          <w:p>
            <w:pPr>
              <w:pStyle w:val="13"/>
            </w:pPr>
            <w:r>
              <w:t>515900.00</w:t>
            </w:r>
          </w:p>
        </w:tc>
        <w:tc>
          <w:tcPr>
            <w:tcW w:w="1134" w:type="dxa"/>
            <w:vAlign w:val="center"/>
          </w:tcPr>
          <w:p>
            <w:pPr>
              <w:pStyle w:val="13"/>
            </w:pPr>
            <w:r>
              <w:t>515900.00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157000.00</w:t>
            </w:r>
          </w:p>
        </w:tc>
        <w:tc>
          <w:tcPr>
            <w:tcW w:w="1134" w:type="dxa"/>
            <w:vAlign w:val="center"/>
          </w:tcPr>
          <w:p>
            <w:pPr>
              <w:pStyle w:val="13"/>
            </w:pPr>
            <w:r>
              <w:t>157000.00</w:t>
            </w:r>
          </w:p>
        </w:tc>
        <w:tc>
          <w:tcPr>
            <w:tcW w:w="1134" w:type="dxa"/>
            <w:vAlign w:val="center"/>
          </w:tcPr>
          <w:p>
            <w:pPr>
              <w:pStyle w:val="13"/>
            </w:pPr>
            <w:r>
              <w:t>157000.00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101001玉田县人民代表大会常务委员会本级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7325014.75</w:t>
            </w:r>
          </w:p>
        </w:tc>
        <w:tc>
          <w:tcPr>
            <w:tcW w:w="1361" w:type="dxa"/>
            <w:vAlign w:val="center"/>
          </w:tcPr>
          <w:p>
            <w:pPr>
              <w:pStyle w:val="17"/>
            </w:pPr>
            <w:r>
              <w:t>6212114.75</w:t>
            </w:r>
          </w:p>
        </w:tc>
        <w:tc>
          <w:tcPr>
            <w:tcW w:w="1361" w:type="dxa"/>
            <w:vAlign w:val="center"/>
          </w:tcPr>
          <w:p>
            <w:pPr>
              <w:pStyle w:val="17"/>
            </w:pPr>
            <w:r>
              <w:t>1112900.00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7325014.75</w:t>
            </w:r>
          </w:p>
        </w:tc>
        <w:tc>
          <w:tcPr>
            <w:tcW w:w="1361" w:type="dxa"/>
            <w:vAlign w:val="center"/>
          </w:tcPr>
          <w:p>
            <w:pPr>
              <w:pStyle w:val="13"/>
            </w:pPr>
            <w:r>
              <w:t>6212114.75</w:t>
            </w:r>
          </w:p>
        </w:tc>
        <w:tc>
          <w:tcPr>
            <w:tcW w:w="1361" w:type="dxa"/>
            <w:vAlign w:val="center"/>
          </w:tcPr>
          <w:p>
            <w:pPr>
              <w:pStyle w:val="13"/>
            </w:pPr>
            <w:r>
              <w:t>1112900.00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7325014.75</w:t>
            </w:r>
          </w:p>
        </w:tc>
        <w:tc>
          <w:tcPr>
            <w:tcW w:w="1361" w:type="dxa"/>
            <w:vAlign w:val="center"/>
          </w:tcPr>
          <w:p>
            <w:pPr>
              <w:pStyle w:val="13"/>
            </w:pPr>
            <w:r>
              <w:t>6212114.75</w:t>
            </w:r>
          </w:p>
        </w:tc>
        <w:tc>
          <w:tcPr>
            <w:tcW w:w="1361" w:type="dxa"/>
            <w:vAlign w:val="center"/>
          </w:tcPr>
          <w:p>
            <w:pPr>
              <w:pStyle w:val="13"/>
            </w:pPr>
            <w:r>
              <w:t>1112900.00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2010101</w:t>
            </w:r>
          </w:p>
        </w:tc>
        <w:tc>
          <w:tcPr>
            <w:tcW w:w="4535" w:type="dxa"/>
            <w:vAlign w:val="center"/>
          </w:tcPr>
          <w:p>
            <w:pPr>
              <w:pStyle w:val="14"/>
            </w:pPr>
            <w:r>
              <w:t>行政运行</w:t>
            </w:r>
          </w:p>
        </w:tc>
        <w:tc>
          <w:tcPr>
            <w:tcW w:w="1361" w:type="dxa"/>
            <w:vAlign w:val="center"/>
          </w:tcPr>
          <w:p>
            <w:pPr>
              <w:pStyle w:val="13"/>
            </w:pPr>
            <w:r>
              <w:t>6212114.75</w:t>
            </w:r>
          </w:p>
        </w:tc>
        <w:tc>
          <w:tcPr>
            <w:tcW w:w="1361" w:type="dxa"/>
            <w:vAlign w:val="center"/>
          </w:tcPr>
          <w:p>
            <w:pPr>
              <w:pStyle w:val="13"/>
            </w:pPr>
            <w:r>
              <w:t>6212114.75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2010104</w:t>
            </w:r>
          </w:p>
        </w:tc>
        <w:tc>
          <w:tcPr>
            <w:tcW w:w="4535" w:type="dxa"/>
            <w:vAlign w:val="center"/>
          </w:tcPr>
          <w:p>
            <w:pPr>
              <w:pStyle w:val="14"/>
            </w:pPr>
            <w:r>
              <w:t>人大会议</w:t>
            </w:r>
          </w:p>
        </w:tc>
        <w:tc>
          <w:tcPr>
            <w:tcW w:w="1361" w:type="dxa"/>
            <w:vAlign w:val="center"/>
          </w:tcPr>
          <w:p>
            <w:pPr>
              <w:pStyle w:val="13"/>
            </w:pPr>
            <w:r>
              <w:t>440000.00</w:t>
            </w:r>
          </w:p>
        </w:tc>
        <w:tc>
          <w:tcPr>
            <w:tcW w:w="1361" w:type="dxa"/>
            <w:vAlign w:val="center"/>
          </w:tcPr>
          <w:p>
            <w:pPr>
              <w:pStyle w:val="13"/>
            </w:pPr>
          </w:p>
        </w:tc>
        <w:tc>
          <w:tcPr>
            <w:tcW w:w="1361" w:type="dxa"/>
            <w:vAlign w:val="center"/>
          </w:tcPr>
          <w:p>
            <w:pPr>
              <w:pStyle w:val="13"/>
            </w:pPr>
            <w:r>
              <w:t>440000.00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2010106</w:t>
            </w:r>
          </w:p>
        </w:tc>
        <w:tc>
          <w:tcPr>
            <w:tcW w:w="4535" w:type="dxa"/>
            <w:vAlign w:val="center"/>
          </w:tcPr>
          <w:p>
            <w:pPr>
              <w:pStyle w:val="14"/>
            </w:pPr>
            <w:r>
              <w:t>人大监督</w:t>
            </w:r>
          </w:p>
        </w:tc>
        <w:tc>
          <w:tcPr>
            <w:tcW w:w="1361" w:type="dxa"/>
            <w:vAlign w:val="center"/>
          </w:tcPr>
          <w:p>
            <w:pPr>
              <w:pStyle w:val="13"/>
            </w:pPr>
            <w:r>
              <w:t>515900.00</w:t>
            </w:r>
          </w:p>
        </w:tc>
        <w:tc>
          <w:tcPr>
            <w:tcW w:w="1361" w:type="dxa"/>
            <w:vAlign w:val="center"/>
          </w:tcPr>
          <w:p>
            <w:pPr>
              <w:pStyle w:val="13"/>
            </w:pPr>
          </w:p>
        </w:tc>
        <w:tc>
          <w:tcPr>
            <w:tcW w:w="1361" w:type="dxa"/>
            <w:vAlign w:val="center"/>
          </w:tcPr>
          <w:p>
            <w:pPr>
              <w:pStyle w:val="13"/>
            </w:pPr>
            <w:r>
              <w:t>515900.00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2010108</w:t>
            </w:r>
          </w:p>
        </w:tc>
        <w:tc>
          <w:tcPr>
            <w:tcW w:w="4535" w:type="dxa"/>
            <w:vAlign w:val="center"/>
          </w:tcPr>
          <w:p>
            <w:pPr>
              <w:pStyle w:val="14"/>
            </w:pPr>
            <w:r>
              <w:t>代表工作</w:t>
            </w:r>
          </w:p>
        </w:tc>
        <w:tc>
          <w:tcPr>
            <w:tcW w:w="1361" w:type="dxa"/>
            <w:vAlign w:val="center"/>
          </w:tcPr>
          <w:p>
            <w:pPr>
              <w:pStyle w:val="13"/>
            </w:pPr>
            <w:r>
              <w:t>157000.00</w:t>
            </w:r>
          </w:p>
        </w:tc>
        <w:tc>
          <w:tcPr>
            <w:tcW w:w="1361" w:type="dxa"/>
            <w:vAlign w:val="center"/>
          </w:tcPr>
          <w:p>
            <w:pPr>
              <w:pStyle w:val="13"/>
            </w:pPr>
          </w:p>
        </w:tc>
        <w:tc>
          <w:tcPr>
            <w:tcW w:w="1361" w:type="dxa"/>
            <w:vAlign w:val="center"/>
          </w:tcPr>
          <w:p>
            <w:pPr>
              <w:pStyle w:val="13"/>
            </w:pPr>
            <w:r>
              <w:t>157000.00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101001玉田县人民代表大会常务委员会本级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7325014.75</w:t>
            </w:r>
          </w:p>
        </w:tc>
        <w:tc>
          <w:tcPr>
            <w:tcW w:w="3402" w:type="dxa"/>
            <w:vAlign w:val="center"/>
          </w:tcPr>
          <w:p>
            <w:pPr>
              <w:pStyle w:val="14"/>
            </w:pPr>
            <w:r>
              <w:t>一、一般公共服务支出</w:t>
            </w:r>
          </w:p>
        </w:tc>
        <w:tc>
          <w:tcPr>
            <w:tcW w:w="1474" w:type="dxa"/>
            <w:vAlign w:val="center"/>
          </w:tcPr>
          <w:p>
            <w:pPr>
              <w:pStyle w:val="13"/>
            </w:pPr>
            <w:r>
              <w:t>7325014.75</w:t>
            </w:r>
          </w:p>
        </w:tc>
        <w:tc>
          <w:tcPr>
            <w:tcW w:w="1474" w:type="dxa"/>
            <w:vAlign w:val="center"/>
          </w:tcPr>
          <w:p>
            <w:pPr>
              <w:pStyle w:val="13"/>
            </w:pPr>
            <w:r>
              <w:t>7325014.75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7325014.75</w:t>
            </w:r>
          </w:p>
        </w:tc>
        <w:tc>
          <w:tcPr>
            <w:tcW w:w="3402" w:type="dxa"/>
            <w:vAlign w:val="center"/>
          </w:tcPr>
          <w:p>
            <w:pPr>
              <w:pStyle w:val="16"/>
            </w:pPr>
            <w:r>
              <w:t>本年支出合计</w:t>
            </w:r>
          </w:p>
        </w:tc>
        <w:tc>
          <w:tcPr>
            <w:tcW w:w="1474" w:type="dxa"/>
            <w:vAlign w:val="center"/>
          </w:tcPr>
          <w:p>
            <w:pPr>
              <w:pStyle w:val="17"/>
            </w:pPr>
            <w:r>
              <w:t>7325014.75</w:t>
            </w:r>
          </w:p>
        </w:tc>
        <w:tc>
          <w:tcPr>
            <w:tcW w:w="1474" w:type="dxa"/>
            <w:vAlign w:val="center"/>
          </w:tcPr>
          <w:p>
            <w:pPr>
              <w:pStyle w:val="17"/>
            </w:pPr>
            <w:r>
              <w:t>7325014.75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7325014.75</w:t>
            </w:r>
          </w:p>
        </w:tc>
        <w:tc>
          <w:tcPr>
            <w:tcW w:w="3402" w:type="dxa"/>
            <w:vAlign w:val="center"/>
          </w:tcPr>
          <w:p>
            <w:pPr>
              <w:pStyle w:val="16"/>
            </w:pPr>
            <w:r>
              <w:t>支出总计</w:t>
            </w:r>
          </w:p>
        </w:tc>
        <w:tc>
          <w:tcPr>
            <w:tcW w:w="1474" w:type="dxa"/>
            <w:vAlign w:val="center"/>
          </w:tcPr>
          <w:p>
            <w:pPr>
              <w:pStyle w:val="17"/>
            </w:pPr>
            <w:r>
              <w:t>7325014.75</w:t>
            </w:r>
          </w:p>
        </w:tc>
        <w:tc>
          <w:tcPr>
            <w:tcW w:w="1474" w:type="dxa"/>
            <w:vAlign w:val="center"/>
          </w:tcPr>
          <w:p>
            <w:pPr>
              <w:pStyle w:val="17"/>
            </w:pPr>
            <w:r>
              <w:t>7325014.75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101001玉田县人民代表大会常务委员会本级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7325014.75</w:t>
            </w:r>
          </w:p>
        </w:tc>
        <w:tc>
          <w:tcPr>
            <w:tcW w:w="2551" w:type="dxa"/>
            <w:vAlign w:val="center"/>
          </w:tcPr>
          <w:p>
            <w:pPr>
              <w:pStyle w:val="17"/>
            </w:pPr>
            <w:r>
              <w:t>6212114.75</w:t>
            </w:r>
          </w:p>
        </w:tc>
        <w:tc>
          <w:tcPr>
            <w:tcW w:w="2551" w:type="dxa"/>
            <w:vAlign w:val="center"/>
          </w:tcPr>
          <w:p>
            <w:pPr>
              <w:pStyle w:val="17"/>
            </w:pPr>
            <w:r>
              <w:t>1112900.00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7325014.75</w:t>
            </w:r>
          </w:p>
        </w:tc>
        <w:tc>
          <w:tcPr>
            <w:tcW w:w="2551" w:type="dxa"/>
            <w:vAlign w:val="center"/>
          </w:tcPr>
          <w:p>
            <w:pPr>
              <w:pStyle w:val="13"/>
            </w:pPr>
            <w:r>
              <w:t>6212114.75</w:t>
            </w:r>
          </w:p>
        </w:tc>
        <w:tc>
          <w:tcPr>
            <w:tcW w:w="2551" w:type="dxa"/>
            <w:vAlign w:val="center"/>
          </w:tcPr>
          <w:p>
            <w:pPr>
              <w:pStyle w:val="13"/>
            </w:pPr>
            <w:r>
              <w:t>1112900.00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7325014.75</w:t>
            </w:r>
          </w:p>
        </w:tc>
        <w:tc>
          <w:tcPr>
            <w:tcW w:w="2551" w:type="dxa"/>
            <w:vAlign w:val="center"/>
          </w:tcPr>
          <w:p>
            <w:pPr>
              <w:pStyle w:val="13"/>
            </w:pPr>
            <w:r>
              <w:t>6212114.75</w:t>
            </w:r>
          </w:p>
        </w:tc>
        <w:tc>
          <w:tcPr>
            <w:tcW w:w="2551" w:type="dxa"/>
            <w:vAlign w:val="center"/>
          </w:tcPr>
          <w:p>
            <w:pPr>
              <w:pStyle w:val="13"/>
            </w:pPr>
            <w:r>
              <w:t>1112900.00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2010101</w:t>
            </w:r>
          </w:p>
        </w:tc>
        <w:tc>
          <w:tcPr>
            <w:tcW w:w="4535" w:type="dxa"/>
            <w:vAlign w:val="center"/>
          </w:tcPr>
          <w:p>
            <w:pPr>
              <w:pStyle w:val="14"/>
            </w:pPr>
            <w:r>
              <w:t>行政运行</w:t>
            </w:r>
          </w:p>
        </w:tc>
        <w:tc>
          <w:tcPr>
            <w:tcW w:w="2551" w:type="dxa"/>
            <w:vAlign w:val="center"/>
          </w:tcPr>
          <w:p>
            <w:pPr>
              <w:pStyle w:val="13"/>
            </w:pPr>
            <w:r>
              <w:t>6212114.75</w:t>
            </w:r>
          </w:p>
        </w:tc>
        <w:tc>
          <w:tcPr>
            <w:tcW w:w="2551" w:type="dxa"/>
            <w:vAlign w:val="center"/>
          </w:tcPr>
          <w:p>
            <w:pPr>
              <w:pStyle w:val="13"/>
            </w:pPr>
            <w:r>
              <w:t>6212114.75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2010104</w:t>
            </w:r>
          </w:p>
        </w:tc>
        <w:tc>
          <w:tcPr>
            <w:tcW w:w="4535" w:type="dxa"/>
            <w:vAlign w:val="center"/>
          </w:tcPr>
          <w:p>
            <w:pPr>
              <w:pStyle w:val="14"/>
            </w:pPr>
            <w:r>
              <w:t>人大会议</w:t>
            </w:r>
          </w:p>
        </w:tc>
        <w:tc>
          <w:tcPr>
            <w:tcW w:w="2551" w:type="dxa"/>
            <w:vAlign w:val="center"/>
          </w:tcPr>
          <w:p>
            <w:pPr>
              <w:pStyle w:val="13"/>
            </w:pPr>
            <w:r>
              <w:t>440000.00</w:t>
            </w:r>
          </w:p>
        </w:tc>
        <w:tc>
          <w:tcPr>
            <w:tcW w:w="2551" w:type="dxa"/>
            <w:vAlign w:val="center"/>
          </w:tcPr>
          <w:p>
            <w:pPr>
              <w:pStyle w:val="13"/>
            </w:pPr>
          </w:p>
        </w:tc>
        <w:tc>
          <w:tcPr>
            <w:tcW w:w="2551" w:type="dxa"/>
            <w:vAlign w:val="center"/>
          </w:tcPr>
          <w:p>
            <w:pPr>
              <w:pStyle w:val="13"/>
            </w:pPr>
            <w:r>
              <w:t>440000.00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2010106</w:t>
            </w:r>
          </w:p>
        </w:tc>
        <w:tc>
          <w:tcPr>
            <w:tcW w:w="4535" w:type="dxa"/>
            <w:vAlign w:val="center"/>
          </w:tcPr>
          <w:p>
            <w:pPr>
              <w:pStyle w:val="14"/>
            </w:pPr>
            <w:r>
              <w:t>人大监督</w:t>
            </w:r>
          </w:p>
        </w:tc>
        <w:tc>
          <w:tcPr>
            <w:tcW w:w="2551" w:type="dxa"/>
            <w:vAlign w:val="center"/>
          </w:tcPr>
          <w:p>
            <w:pPr>
              <w:pStyle w:val="13"/>
            </w:pPr>
            <w:r>
              <w:t>515900.00</w:t>
            </w:r>
          </w:p>
        </w:tc>
        <w:tc>
          <w:tcPr>
            <w:tcW w:w="2551" w:type="dxa"/>
            <w:vAlign w:val="center"/>
          </w:tcPr>
          <w:p>
            <w:pPr>
              <w:pStyle w:val="13"/>
            </w:pPr>
          </w:p>
        </w:tc>
        <w:tc>
          <w:tcPr>
            <w:tcW w:w="2551" w:type="dxa"/>
            <w:vAlign w:val="center"/>
          </w:tcPr>
          <w:p>
            <w:pPr>
              <w:pStyle w:val="13"/>
            </w:pPr>
            <w:r>
              <w:t>515900.00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2010108</w:t>
            </w:r>
          </w:p>
        </w:tc>
        <w:tc>
          <w:tcPr>
            <w:tcW w:w="4535" w:type="dxa"/>
            <w:vAlign w:val="center"/>
          </w:tcPr>
          <w:p>
            <w:pPr>
              <w:pStyle w:val="14"/>
            </w:pPr>
            <w:r>
              <w:t>代表工作</w:t>
            </w:r>
          </w:p>
        </w:tc>
        <w:tc>
          <w:tcPr>
            <w:tcW w:w="2551" w:type="dxa"/>
            <w:vAlign w:val="center"/>
          </w:tcPr>
          <w:p>
            <w:pPr>
              <w:pStyle w:val="13"/>
            </w:pPr>
            <w:r>
              <w:t>157000.00</w:t>
            </w:r>
          </w:p>
        </w:tc>
        <w:tc>
          <w:tcPr>
            <w:tcW w:w="2551" w:type="dxa"/>
            <w:vAlign w:val="center"/>
          </w:tcPr>
          <w:p>
            <w:pPr>
              <w:pStyle w:val="13"/>
            </w:pPr>
          </w:p>
        </w:tc>
        <w:tc>
          <w:tcPr>
            <w:tcW w:w="2551" w:type="dxa"/>
            <w:vAlign w:val="center"/>
          </w:tcPr>
          <w:p>
            <w:pPr>
              <w:pStyle w:val="13"/>
            </w:pPr>
            <w:r>
              <w:t>157000.00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101001玉田县人民代表大会常务委员会本级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6212114.75</w:t>
            </w:r>
          </w:p>
        </w:tc>
        <w:tc>
          <w:tcPr>
            <w:tcW w:w="2551" w:type="dxa"/>
            <w:vAlign w:val="center"/>
          </w:tcPr>
          <w:p>
            <w:pPr>
              <w:pStyle w:val="17"/>
            </w:pPr>
            <w:r>
              <w:t>5090968.17</w:t>
            </w:r>
          </w:p>
        </w:tc>
        <w:tc>
          <w:tcPr>
            <w:tcW w:w="2551" w:type="dxa"/>
            <w:vAlign w:val="center"/>
          </w:tcPr>
          <w:p>
            <w:pPr>
              <w:pStyle w:val="17"/>
            </w:pPr>
            <w:r>
              <w:t>1121146.58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4965808.17</w:t>
            </w:r>
          </w:p>
        </w:tc>
        <w:tc>
          <w:tcPr>
            <w:tcW w:w="2551" w:type="dxa"/>
            <w:vAlign w:val="center"/>
          </w:tcPr>
          <w:p>
            <w:pPr>
              <w:pStyle w:val="13"/>
            </w:pPr>
            <w:r>
              <w:t>4965808.17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1154335.11</w:t>
            </w:r>
          </w:p>
        </w:tc>
        <w:tc>
          <w:tcPr>
            <w:tcW w:w="2551" w:type="dxa"/>
            <w:vAlign w:val="center"/>
          </w:tcPr>
          <w:p>
            <w:pPr>
              <w:pStyle w:val="13"/>
            </w:pPr>
            <w:r>
              <w:t>1154335.11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1194360.00</w:t>
            </w:r>
          </w:p>
        </w:tc>
        <w:tc>
          <w:tcPr>
            <w:tcW w:w="2551" w:type="dxa"/>
            <w:vAlign w:val="center"/>
          </w:tcPr>
          <w:p>
            <w:pPr>
              <w:pStyle w:val="13"/>
            </w:pPr>
            <w:r>
              <w:t>1194360.00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154751.00</w:t>
            </w:r>
          </w:p>
        </w:tc>
        <w:tc>
          <w:tcPr>
            <w:tcW w:w="2551" w:type="dxa"/>
            <w:vAlign w:val="center"/>
          </w:tcPr>
          <w:p>
            <w:pPr>
              <w:pStyle w:val="13"/>
            </w:pPr>
            <w:r>
              <w:t>154751.00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119142.86</w:t>
            </w:r>
          </w:p>
        </w:tc>
        <w:tc>
          <w:tcPr>
            <w:tcW w:w="2551" w:type="dxa"/>
            <w:vAlign w:val="center"/>
          </w:tcPr>
          <w:p>
            <w:pPr>
              <w:pStyle w:val="13"/>
            </w:pPr>
            <w:r>
              <w:t>119142.86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511037.74</w:t>
            </w:r>
          </w:p>
        </w:tc>
        <w:tc>
          <w:tcPr>
            <w:tcW w:w="2551" w:type="dxa"/>
            <w:vAlign w:val="center"/>
          </w:tcPr>
          <w:p>
            <w:pPr>
              <w:pStyle w:val="13"/>
            </w:pPr>
            <w:r>
              <w:t>511037.74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487082.84</w:t>
            </w:r>
          </w:p>
        </w:tc>
        <w:tc>
          <w:tcPr>
            <w:tcW w:w="2551" w:type="dxa"/>
            <w:vAlign w:val="center"/>
          </w:tcPr>
          <w:p>
            <w:pPr>
              <w:pStyle w:val="13"/>
            </w:pPr>
            <w:r>
              <w:t>487082.84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961820.32</w:t>
            </w:r>
          </w:p>
        </w:tc>
        <w:tc>
          <w:tcPr>
            <w:tcW w:w="2551" w:type="dxa"/>
            <w:vAlign w:val="center"/>
          </w:tcPr>
          <w:p>
            <w:pPr>
              <w:pStyle w:val="13"/>
            </w:pPr>
            <w:r>
              <w:t>961820.32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383278.30</w:t>
            </w:r>
          </w:p>
        </w:tc>
        <w:tc>
          <w:tcPr>
            <w:tcW w:w="2551" w:type="dxa"/>
            <w:vAlign w:val="center"/>
          </w:tcPr>
          <w:p>
            <w:pPr>
              <w:pStyle w:val="13"/>
            </w:pPr>
            <w:r>
              <w:t>383278.30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1121146.58</w:t>
            </w:r>
          </w:p>
        </w:tc>
        <w:tc>
          <w:tcPr>
            <w:tcW w:w="2551" w:type="dxa"/>
            <w:vAlign w:val="center"/>
          </w:tcPr>
          <w:p>
            <w:pPr>
              <w:pStyle w:val="13"/>
            </w:pPr>
          </w:p>
        </w:tc>
        <w:tc>
          <w:tcPr>
            <w:tcW w:w="2551" w:type="dxa"/>
            <w:vAlign w:val="center"/>
          </w:tcPr>
          <w:p>
            <w:pPr>
              <w:pStyle w:val="13"/>
            </w:pPr>
            <w:r>
              <w:t>1121146.58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29400.00</w:t>
            </w:r>
          </w:p>
        </w:tc>
        <w:tc>
          <w:tcPr>
            <w:tcW w:w="2551" w:type="dxa"/>
            <w:vAlign w:val="center"/>
          </w:tcPr>
          <w:p>
            <w:pPr>
              <w:pStyle w:val="13"/>
            </w:pPr>
          </w:p>
        </w:tc>
        <w:tc>
          <w:tcPr>
            <w:tcW w:w="2551" w:type="dxa"/>
            <w:vAlign w:val="center"/>
          </w:tcPr>
          <w:p>
            <w:pPr>
              <w:pStyle w:val="13"/>
            </w:pPr>
            <w:r>
              <w:t>29400.00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81228.00</w:t>
            </w:r>
          </w:p>
        </w:tc>
        <w:tc>
          <w:tcPr>
            <w:tcW w:w="2551" w:type="dxa"/>
            <w:vAlign w:val="center"/>
          </w:tcPr>
          <w:p>
            <w:pPr>
              <w:pStyle w:val="13"/>
            </w:pPr>
          </w:p>
        </w:tc>
        <w:tc>
          <w:tcPr>
            <w:tcW w:w="2551" w:type="dxa"/>
            <w:vAlign w:val="center"/>
          </w:tcPr>
          <w:p>
            <w:pPr>
              <w:pStyle w:val="13"/>
            </w:pPr>
            <w:r>
              <w:t>81228.00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42000.00</w:t>
            </w:r>
          </w:p>
        </w:tc>
        <w:tc>
          <w:tcPr>
            <w:tcW w:w="2551" w:type="dxa"/>
            <w:vAlign w:val="center"/>
          </w:tcPr>
          <w:p>
            <w:pPr>
              <w:pStyle w:val="13"/>
            </w:pPr>
          </w:p>
        </w:tc>
        <w:tc>
          <w:tcPr>
            <w:tcW w:w="2551" w:type="dxa"/>
            <w:vAlign w:val="center"/>
          </w:tcPr>
          <w:p>
            <w:pPr>
              <w:pStyle w:val="13"/>
            </w:pPr>
            <w:r>
              <w:t>42000.00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20400.00</w:t>
            </w:r>
          </w:p>
        </w:tc>
        <w:tc>
          <w:tcPr>
            <w:tcW w:w="2551" w:type="dxa"/>
            <w:vAlign w:val="center"/>
          </w:tcPr>
          <w:p>
            <w:pPr>
              <w:pStyle w:val="13"/>
            </w:pPr>
          </w:p>
        </w:tc>
        <w:tc>
          <w:tcPr>
            <w:tcW w:w="2551" w:type="dxa"/>
            <w:vAlign w:val="center"/>
          </w:tcPr>
          <w:p>
            <w:pPr>
              <w:pStyle w:val="13"/>
            </w:pPr>
            <w:r>
              <w:t>20400.00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2100.00</w:t>
            </w:r>
          </w:p>
        </w:tc>
        <w:tc>
          <w:tcPr>
            <w:tcW w:w="2551" w:type="dxa"/>
            <w:vAlign w:val="center"/>
          </w:tcPr>
          <w:p>
            <w:pPr>
              <w:pStyle w:val="13"/>
            </w:pPr>
          </w:p>
        </w:tc>
        <w:tc>
          <w:tcPr>
            <w:tcW w:w="2551" w:type="dxa"/>
            <w:vAlign w:val="center"/>
          </w:tcPr>
          <w:p>
            <w:pPr>
              <w:pStyle w:val="13"/>
            </w:pPr>
            <w:r>
              <w:t>2100.00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45141.88</w:t>
            </w:r>
          </w:p>
        </w:tc>
        <w:tc>
          <w:tcPr>
            <w:tcW w:w="2551" w:type="dxa"/>
            <w:vAlign w:val="center"/>
          </w:tcPr>
          <w:p>
            <w:pPr>
              <w:pStyle w:val="13"/>
            </w:pPr>
          </w:p>
        </w:tc>
        <w:tc>
          <w:tcPr>
            <w:tcW w:w="2551" w:type="dxa"/>
            <w:vAlign w:val="center"/>
          </w:tcPr>
          <w:p>
            <w:pPr>
              <w:pStyle w:val="13"/>
            </w:pPr>
            <w:r>
              <w:t>45141.88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81505.71</w:t>
            </w:r>
          </w:p>
        </w:tc>
        <w:tc>
          <w:tcPr>
            <w:tcW w:w="2551" w:type="dxa"/>
            <w:vAlign w:val="center"/>
          </w:tcPr>
          <w:p>
            <w:pPr>
              <w:pStyle w:val="13"/>
            </w:pPr>
          </w:p>
        </w:tc>
        <w:tc>
          <w:tcPr>
            <w:tcW w:w="2551" w:type="dxa"/>
            <w:vAlign w:val="center"/>
          </w:tcPr>
          <w:p>
            <w:pPr>
              <w:pStyle w:val="13"/>
            </w:pPr>
            <w:r>
              <w:t>81505.71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203000.00</w:t>
            </w:r>
          </w:p>
        </w:tc>
        <w:tc>
          <w:tcPr>
            <w:tcW w:w="2551" w:type="dxa"/>
            <w:vAlign w:val="center"/>
          </w:tcPr>
          <w:p>
            <w:pPr>
              <w:pStyle w:val="13"/>
            </w:pPr>
          </w:p>
        </w:tc>
        <w:tc>
          <w:tcPr>
            <w:tcW w:w="2551" w:type="dxa"/>
            <w:vAlign w:val="center"/>
          </w:tcPr>
          <w:p>
            <w:pPr>
              <w:pStyle w:val="13"/>
            </w:pPr>
            <w:r>
              <w:t>203000.00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272760.00</w:t>
            </w:r>
          </w:p>
        </w:tc>
        <w:tc>
          <w:tcPr>
            <w:tcW w:w="2551" w:type="dxa"/>
            <w:vAlign w:val="center"/>
          </w:tcPr>
          <w:p>
            <w:pPr>
              <w:pStyle w:val="13"/>
            </w:pPr>
          </w:p>
        </w:tc>
        <w:tc>
          <w:tcPr>
            <w:tcW w:w="2551" w:type="dxa"/>
            <w:vAlign w:val="center"/>
          </w:tcPr>
          <w:p>
            <w:pPr>
              <w:pStyle w:val="13"/>
            </w:pPr>
            <w:r>
              <w:t>272760.00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83610.99</w:t>
            </w:r>
          </w:p>
        </w:tc>
        <w:tc>
          <w:tcPr>
            <w:tcW w:w="2551" w:type="dxa"/>
            <w:vAlign w:val="center"/>
          </w:tcPr>
          <w:p>
            <w:pPr>
              <w:pStyle w:val="13"/>
            </w:pPr>
          </w:p>
        </w:tc>
        <w:tc>
          <w:tcPr>
            <w:tcW w:w="2551" w:type="dxa"/>
            <w:vAlign w:val="center"/>
          </w:tcPr>
          <w:p>
            <w:pPr>
              <w:pStyle w:val="13"/>
            </w:pPr>
            <w:r>
              <w:t>83610.99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125160.00</w:t>
            </w:r>
          </w:p>
        </w:tc>
        <w:tc>
          <w:tcPr>
            <w:tcW w:w="2551" w:type="dxa"/>
            <w:vAlign w:val="center"/>
          </w:tcPr>
          <w:p>
            <w:pPr>
              <w:pStyle w:val="13"/>
            </w:pPr>
            <w:r>
              <w:t>125160.00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96000.00</w:t>
            </w:r>
          </w:p>
        </w:tc>
        <w:tc>
          <w:tcPr>
            <w:tcW w:w="2551" w:type="dxa"/>
            <w:vAlign w:val="center"/>
          </w:tcPr>
          <w:p>
            <w:pPr>
              <w:pStyle w:val="13"/>
            </w:pPr>
            <w:r>
              <w:t>96000.00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28800.00</w:t>
            </w:r>
          </w:p>
        </w:tc>
        <w:tc>
          <w:tcPr>
            <w:tcW w:w="2551" w:type="dxa"/>
            <w:vAlign w:val="center"/>
          </w:tcPr>
          <w:p>
            <w:pPr>
              <w:pStyle w:val="13"/>
            </w:pPr>
            <w:r>
              <w:t>28800.00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360.00</w:t>
            </w:r>
          </w:p>
        </w:tc>
        <w:tc>
          <w:tcPr>
            <w:tcW w:w="2551" w:type="dxa"/>
            <w:vAlign w:val="center"/>
          </w:tcPr>
          <w:p>
            <w:pPr>
              <w:pStyle w:val="13"/>
            </w:pPr>
            <w:r>
              <w:t>360.00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101001玉田县人民代表大会常务委员会本级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101001玉田县人民代表大会常务委员会本级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101001玉田县人民代表大会常务委员会本级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玉田县人民代表大会常务委员会本级2022年单位预算信息公开情况说明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按照《预算法》、《地方预决算公开操作规程》和《关于进一步推进预算公开工作的实施意见》规定，现将玉田县人民代表大会常务委员会本级2022年单位预算公开如下：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1"/>
      </w:pPr>
      <w:r>
        <w:t>部门职责</w:t>
      </w:r>
    </w:p>
    <w:p>
      <w:pPr>
        <w:pStyle w:val="31"/>
      </w:pPr>
      <w:r>
        <w:t>县</w:t>
      </w:r>
      <w:r>
        <w:rPr>
          <w:rFonts w:hint="eastAsia"/>
          <w:lang w:eastAsia="zh-CN"/>
        </w:rPr>
        <w:t>人民代表大会常务委员会</w:t>
      </w:r>
      <w:r>
        <w:t>是县人民代表大会的常设机关，对县人民代表大会负责并报告工作。县</w:t>
      </w:r>
      <w:r>
        <w:rPr>
          <w:rFonts w:hint="eastAsia"/>
          <w:lang w:eastAsia="zh-CN"/>
        </w:rPr>
        <w:t>人民代表大会常务委员会</w:t>
      </w:r>
      <w:r>
        <w:t>行使下列职权： 在本行政区域内，保证宪法、法律、行政法规和上级人民代表大会及其常委会决议的遵守和执行；领导、主持县人民代表大会代表的选举；召集县人民代表大会会议；讨论、决定本县内的政治、经济、教育、科学、文化、卫生、环境和资源保护、民政、民族等工作的重大事项； 根据县人民政府的建议，决定对本县内的国民经济和社会发展计划、预算的部分变更；监督县人民政府、人民法院和人民检察院的工作，联系县人民代表大会代表，受理人民群众对上述机关和国家工作人员的申诉和意见等。</w:t>
      </w:r>
    </w:p>
    <w:p>
      <w:pPr>
        <w:pStyle w:val="31"/>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玉田县人民代表大会常务委员会本级</w:t>
            </w:r>
          </w:p>
        </w:tc>
        <w:tc>
          <w:tcPr>
            <w:tcW w:w="1843" w:type="dxa"/>
            <w:vAlign w:val="center"/>
          </w:tcPr>
          <w:p>
            <w:pPr>
              <w:pStyle w:val="15"/>
            </w:pPr>
            <w:r>
              <w:t>行政</w:t>
            </w:r>
          </w:p>
        </w:tc>
        <w:tc>
          <w:tcPr>
            <w:tcW w:w="2126" w:type="dxa"/>
            <w:vAlign w:val="center"/>
          </w:tcPr>
          <w:p>
            <w:pPr>
              <w:pStyle w:val="15"/>
            </w:pPr>
            <w:r>
              <w:t>正处（县）级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2"/>
      </w:pPr>
      <w:r>
        <w:t>部门预算安排的总体情况</w:t>
      </w:r>
    </w:p>
    <w:p>
      <w:pPr>
        <w:pStyle w:val="32"/>
      </w:pPr>
      <w:r>
        <w:t>按照预算管理有关规定，目前我省部门预算的编制实行综合预算管理，即全部收入和支出都反映在预算中。玉田县</w:t>
      </w:r>
      <w:r>
        <w:rPr>
          <w:rFonts w:hint="eastAsia"/>
          <w:lang w:eastAsia="zh-CN"/>
        </w:rPr>
        <w:t>人民</w:t>
      </w:r>
      <w:r>
        <w:t>代表大会常务委员会办公室机关收支包含在部门预算中。</w:t>
      </w:r>
    </w:p>
    <w:p>
      <w:pPr>
        <w:pStyle w:val="32"/>
      </w:pPr>
      <w:r>
        <w:t>1、收入说明</w:t>
      </w:r>
    </w:p>
    <w:p>
      <w:pPr>
        <w:pStyle w:val="32"/>
      </w:pPr>
      <w:r>
        <w:t>我单位2022年一般公共预算拨款收入为732.50万元，其中：一般公共预算收入732.50万元，政府性基金收入0万元，财政专户收入0万元，其他来源收入0万元。</w:t>
      </w:r>
    </w:p>
    <w:p>
      <w:pPr>
        <w:pStyle w:val="32"/>
      </w:pPr>
      <w:r>
        <w:t>2、支出说明</w:t>
      </w:r>
    </w:p>
    <w:p>
      <w:pPr>
        <w:pStyle w:val="32"/>
      </w:pPr>
      <w:r>
        <w:t>收支预算总表支出、基本支出表、项目支出表按经济分类和支出功能分类科目编制，反应玉田县人民代表大会常务委员会办公室年度部门预算中支出预算的总体情况。2022年支出预算732.5万元，其中基本支出621.21万元，包括人员经费509.1万元、日常公用经费112.11万元；项目支出111.29万元，主要为人大会议费44万元、常委会委员代表培训30.03万元、人大代表订刊11.7万元、人大专项工作经费10万元、五星代表之家联络站4万元、人大代表活动11.56万元。</w:t>
      </w:r>
    </w:p>
    <w:p>
      <w:pPr>
        <w:pStyle w:val="32"/>
      </w:pPr>
      <w:r>
        <w:t>3、比上年增减情况</w:t>
      </w:r>
    </w:p>
    <w:p>
      <w:pPr>
        <w:pStyle w:val="32"/>
      </w:pPr>
      <w:r>
        <w:t>2022年部门预算全部为一般公共预算，无政府性基金收支预算和国有资本经营收支预算。2022年部门预算收支安排732.5万元，较2021年增加73.86万元，其中人员经费增加78.83万元、正常公用经费增加112.11万元（按在职人数安排的经费增加）、项目支出减少32.12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3"/>
      </w:pPr>
      <w:r>
        <w:t>机关运行经费安排情况</w:t>
      </w:r>
    </w:p>
    <w:p>
      <w:pPr>
        <w:pStyle w:val="33"/>
      </w:pPr>
    </w:p>
    <w:p>
      <w:pPr>
        <w:pStyle w:val="33"/>
      </w:pPr>
      <w:r>
        <w:t>2022年我单位安排机关运行经费112.11万元，全部为日常公用经费112.11万元。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2022年我单位财政拨款“三公”经费预算安排40.3万元，具体安排情况如下：</w:t>
      </w:r>
    </w:p>
    <w:p>
      <w:pPr>
        <w:pStyle w:val="34"/>
      </w:pPr>
      <w:r>
        <w:t>（一）公务用车购置及运行费。共计安排20.3万元，与上年持平，无增减变化。</w:t>
      </w:r>
    </w:p>
    <w:p>
      <w:pPr>
        <w:pStyle w:val="34"/>
      </w:pPr>
      <w:r>
        <w:t>①公务用车购置安排0万元，与上年持平，无增减变化。</w:t>
      </w:r>
    </w:p>
    <w:p>
      <w:pPr>
        <w:pStyle w:val="34"/>
      </w:pPr>
      <w:r>
        <w:t>②公车运行维护经费安排20.3万元，与上年持平，无增减变化。</w:t>
      </w:r>
    </w:p>
    <w:p>
      <w:pPr>
        <w:pStyle w:val="34"/>
      </w:pPr>
      <w:r>
        <w:t xml:space="preserve">（二）公务接待费。安排20万元，与上年相比，增加5万元。（主要原因：2021年公务接待费用支出较紧张，2022年适当增加5万元） </w:t>
      </w:r>
    </w:p>
    <w:p>
      <w:pPr>
        <w:pStyle w:val="34"/>
      </w:pPr>
      <w:r>
        <w:t>（三）因公出国（境）费安排0万元，与上年持平，无增减变化。</w:t>
      </w:r>
    </w:p>
    <w:p>
      <w:pPr>
        <w:spacing w:before="10" w:after="10" w:line="240" w:lineRule="auto"/>
        <w:ind w:firstLine="640"/>
        <w:jc w:val="left"/>
        <w:outlineLvl w:val="5"/>
      </w:pPr>
      <w:r>
        <w:rPr>
          <w:rFonts w:ascii="黑体" w:hAnsi="黑体" w:eastAsia="黑体" w:cs="黑体"/>
          <w:color w:val="000000"/>
          <w:sz w:val="32"/>
        </w:rPr>
        <w:t>五、预算绩效信息</w:t>
      </w:r>
    </w:p>
    <w:p>
      <w:pPr>
        <w:pStyle w:val="26"/>
        <w:spacing w:before="0" w:after="0"/>
        <w:ind w:firstLine="560"/>
        <w:jc w:val="left"/>
        <w:outlineLvl w:val="9"/>
      </w:pPr>
      <w:r>
        <w:rPr>
          <w:rFonts w:ascii="方正仿宋_GBK" w:hAnsi="方正仿宋_GBK" w:eastAsia="方正仿宋_GBK" w:cs="方正仿宋_GBK"/>
          <w:b/>
          <w:color w:val="000000"/>
          <w:sz w:val="28"/>
        </w:rPr>
        <w:t>1、常委会委员代表培训绩效目标表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1.目标内容1一定程度上提高常委会委员代表履职能力</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培训人数</w:t>
            </w:r>
          </w:p>
        </w:tc>
        <w:tc>
          <w:tcPr>
            <w:tcW w:w="2835" w:type="dxa"/>
            <w:vAlign w:val="center"/>
          </w:tcPr>
          <w:p>
            <w:pPr>
              <w:pStyle w:val="28"/>
            </w:pPr>
            <w:r>
              <w:rPr>
                <w:rFonts w:hint="eastAsia"/>
                <w:lang w:eastAsia="zh-CN"/>
              </w:rPr>
              <w:t>人民代表大会常务委员会</w:t>
            </w:r>
            <w:r>
              <w:t>委员培训班中县</w:t>
            </w:r>
            <w:r>
              <w:rPr>
                <w:rFonts w:hint="eastAsia"/>
                <w:lang w:eastAsia="zh-CN"/>
              </w:rPr>
              <w:t>人民代表大会常务委员会</w:t>
            </w:r>
            <w:r>
              <w:t>代表人数</w:t>
            </w:r>
          </w:p>
        </w:tc>
        <w:tc>
          <w:tcPr>
            <w:tcW w:w="2551" w:type="dxa"/>
            <w:vAlign w:val="center"/>
          </w:tcPr>
          <w:p>
            <w:pPr>
              <w:pStyle w:val="28"/>
            </w:pPr>
            <w:r>
              <w:t>51人</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培训合格率</w:t>
            </w:r>
          </w:p>
        </w:tc>
        <w:tc>
          <w:tcPr>
            <w:tcW w:w="2835" w:type="dxa"/>
            <w:vAlign w:val="center"/>
          </w:tcPr>
          <w:p>
            <w:pPr>
              <w:pStyle w:val="28"/>
            </w:pPr>
            <w:r>
              <w:t>培训合格达标率</w:t>
            </w:r>
          </w:p>
        </w:tc>
        <w:tc>
          <w:tcPr>
            <w:tcW w:w="2551" w:type="dxa"/>
            <w:vAlign w:val="center"/>
          </w:tcPr>
          <w:p>
            <w:pPr>
              <w:pStyle w:val="28"/>
            </w:pPr>
            <w:r>
              <w:t>100%</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培训按时完成情况</w:t>
            </w:r>
          </w:p>
        </w:tc>
        <w:tc>
          <w:tcPr>
            <w:tcW w:w="2835" w:type="dxa"/>
            <w:vAlign w:val="center"/>
          </w:tcPr>
          <w:p>
            <w:pPr>
              <w:pStyle w:val="28"/>
            </w:pPr>
            <w:r>
              <w:t>培训按时完成情况</w:t>
            </w:r>
          </w:p>
        </w:tc>
        <w:tc>
          <w:tcPr>
            <w:tcW w:w="2551" w:type="dxa"/>
            <w:vAlign w:val="center"/>
          </w:tcPr>
          <w:p>
            <w:pPr>
              <w:pStyle w:val="28"/>
            </w:pPr>
            <w:r>
              <w:t>如期完成</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w:t>
            </w:r>
          </w:p>
        </w:tc>
        <w:tc>
          <w:tcPr>
            <w:tcW w:w="2835" w:type="dxa"/>
            <w:vAlign w:val="center"/>
          </w:tcPr>
          <w:p>
            <w:pPr>
              <w:pStyle w:val="28"/>
            </w:pPr>
            <w:r>
              <w:t>成本控制</w:t>
            </w:r>
          </w:p>
        </w:tc>
        <w:tc>
          <w:tcPr>
            <w:tcW w:w="2551" w:type="dxa"/>
            <w:vAlign w:val="center"/>
          </w:tcPr>
          <w:p>
            <w:pPr>
              <w:pStyle w:val="28"/>
            </w:pPr>
            <w:r>
              <w:t>30.03万元</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可持续影响指标</w:t>
            </w:r>
          </w:p>
        </w:tc>
        <w:tc>
          <w:tcPr>
            <w:tcW w:w="2835" w:type="dxa"/>
            <w:vAlign w:val="center"/>
          </w:tcPr>
          <w:p>
            <w:pPr>
              <w:pStyle w:val="28"/>
            </w:pPr>
            <w:r>
              <w:t>影响力</w:t>
            </w:r>
          </w:p>
        </w:tc>
        <w:tc>
          <w:tcPr>
            <w:tcW w:w="2835" w:type="dxa"/>
            <w:vAlign w:val="center"/>
          </w:tcPr>
          <w:p>
            <w:pPr>
              <w:pStyle w:val="28"/>
            </w:pPr>
            <w:r>
              <w:t>能更好的代表人民利益，满足人民需求</w:t>
            </w:r>
          </w:p>
        </w:tc>
        <w:tc>
          <w:tcPr>
            <w:tcW w:w="2551" w:type="dxa"/>
            <w:vAlign w:val="center"/>
          </w:tcPr>
          <w:p>
            <w:pPr>
              <w:pStyle w:val="28"/>
            </w:pPr>
            <w:r>
              <w:t>满足人民需求</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确保培训政治导向正确</w:t>
            </w:r>
          </w:p>
        </w:tc>
        <w:tc>
          <w:tcPr>
            <w:tcW w:w="2835" w:type="dxa"/>
            <w:vAlign w:val="center"/>
          </w:tcPr>
          <w:p>
            <w:pPr>
              <w:pStyle w:val="28"/>
            </w:pPr>
            <w:r>
              <w:t>培训项目不出现上级通报的意识形态重大问题（个）</w:t>
            </w:r>
          </w:p>
        </w:tc>
        <w:tc>
          <w:tcPr>
            <w:tcW w:w="2551" w:type="dxa"/>
            <w:vAlign w:val="center"/>
          </w:tcPr>
          <w:p>
            <w:pPr>
              <w:pStyle w:val="28"/>
            </w:pPr>
            <w:r>
              <w:t>绝不能出现</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达到绿色产业标准</w:t>
            </w:r>
          </w:p>
        </w:tc>
        <w:tc>
          <w:tcPr>
            <w:tcW w:w="2835" w:type="dxa"/>
            <w:vAlign w:val="center"/>
          </w:tcPr>
          <w:p>
            <w:pPr>
              <w:pStyle w:val="28"/>
            </w:pPr>
            <w:r>
              <w:t>鼓励代表们大力发展绿色产业</w:t>
            </w:r>
          </w:p>
        </w:tc>
        <w:tc>
          <w:tcPr>
            <w:tcW w:w="2551" w:type="dxa"/>
            <w:vAlign w:val="center"/>
          </w:tcPr>
          <w:p>
            <w:pPr>
              <w:pStyle w:val="28"/>
            </w:pPr>
            <w:r>
              <w:t>促进绿色产业发展</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培训工作经济效益提升</w:t>
            </w:r>
          </w:p>
        </w:tc>
        <w:tc>
          <w:tcPr>
            <w:tcW w:w="2835" w:type="dxa"/>
            <w:vAlign w:val="center"/>
          </w:tcPr>
          <w:p>
            <w:pPr>
              <w:pStyle w:val="28"/>
            </w:pPr>
            <w:r>
              <w:t>培训工作经济效益提升</w:t>
            </w:r>
          </w:p>
        </w:tc>
        <w:tc>
          <w:tcPr>
            <w:tcW w:w="2551" w:type="dxa"/>
            <w:vAlign w:val="center"/>
          </w:tcPr>
          <w:p>
            <w:pPr>
              <w:pStyle w:val="28"/>
            </w:pPr>
            <w:r>
              <w:t>利于经济发展</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代表满意度</w:t>
            </w:r>
          </w:p>
        </w:tc>
        <w:tc>
          <w:tcPr>
            <w:tcW w:w="2551" w:type="dxa"/>
            <w:vAlign w:val="center"/>
          </w:tcPr>
          <w:p>
            <w:pPr>
              <w:pStyle w:val="28"/>
            </w:pPr>
            <w:r>
              <w:t>≥90%</w:t>
            </w:r>
          </w:p>
        </w:tc>
        <w:tc>
          <w:tcPr>
            <w:tcW w:w="2268" w:type="dxa"/>
            <w:vAlign w:val="center"/>
          </w:tcPr>
          <w:p>
            <w:pPr>
              <w:pStyle w:val="28"/>
            </w:pPr>
            <w:r>
              <w:t>依据相关政策文件确定</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2、人大代表订刊绩效目标表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1.目标内容1年内完成报刊杂志征订工作</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报刊杂志征订数量</w:t>
            </w:r>
          </w:p>
        </w:tc>
        <w:tc>
          <w:tcPr>
            <w:tcW w:w="2835" w:type="dxa"/>
            <w:vAlign w:val="center"/>
          </w:tcPr>
          <w:p>
            <w:pPr>
              <w:pStyle w:val="28"/>
            </w:pPr>
            <w:r>
              <w:t>报刊杂志征订数量</w:t>
            </w:r>
          </w:p>
        </w:tc>
        <w:tc>
          <w:tcPr>
            <w:tcW w:w="2551" w:type="dxa"/>
            <w:vAlign w:val="center"/>
          </w:tcPr>
          <w:p>
            <w:pPr>
              <w:pStyle w:val="28"/>
            </w:pPr>
            <w:r>
              <w:t>≥100%</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优良率</w:t>
            </w:r>
          </w:p>
        </w:tc>
        <w:tc>
          <w:tcPr>
            <w:tcW w:w="2835" w:type="dxa"/>
            <w:vAlign w:val="center"/>
          </w:tcPr>
          <w:p>
            <w:pPr>
              <w:pStyle w:val="28"/>
            </w:pPr>
            <w:r>
              <w:t>产生重要影响的报刊杂志占总量的百分比</w:t>
            </w:r>
          </w:p>
        </w:tc>
        <w:tc>
          <w:tcPr>
            <w:tcW w:w="2551" w:type="dxa"/>
            <w:vAlign w:val="center"/>
          </w:tcPr>
          <w:p>
            <w:pPr>
              <w:pStyle w:val="28"/>
            </w:pPr>
            <w:r>
              <w:t>≥80%</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完成率</w:t>
            </w:r>
          </w:p>
        </w:tc>
        <w:tc>
          <w:tcPr>
            <w:tcW w:w="2835" w:type="dxa"/>
            <w:vAlign w:val="center"/>
          </w:tcPr>
          <w:p>
            <w:pPr>
              <w:pStyle w:val="28"/>
            </w:pPr>
            <w:r>
              <w:t>完成征订任务占任务总数的百分比</w:t>
            </w:r>
          </w:p>
        </w:tc>
        <w:tc>
          <w:tcPr>
            <w:tcW w:w="2551" w:type="dxa"/>
            <w:vAlign w:val="center"/>
          </w:tcPr>
          <w:p>
            <w:pPr>
              <w:pStyle w:val="28"/>
            </w:pPr>
            <w:r>
              <w:t>≥90%</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控制在预算成本内</w:t>
            </w:r>
          </w:p>
        </w:tc>
        <w:tc>
          <w:tcPr>
            <w:tcW w:w="2835" w:type="dxa"/>
            <w:vAlign w:val="center"/>
          </w:tcPr>
          <w:p>
            <w:pPr>
              <w:pStyle w:val="28"/>
            </w:pPr>
            <w:r>
              <w:t>控制在预算成本内</w:t>
            </w:r>
          </w:p>
        </w:tc>
        <w:tc>
          <w:tcPr>
            <w:tcW w:w="2551" w:type="dxa"/>
            <w:vAlign w:val="center"/>
          </w:tcPr>
          <w:p>
            <w:pPr>
              <w:pStyle w:val="28"/>
            </w:pPr>
            <w:r>
              <w:t>≥80%</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可持续影响指标</w:t>
            </w:r>
          </w:p>
        </w:tc>
        <w:tc>
          <w:tcPr>
            <w:tcW w:w="2835" w:type="dxa"/>
            <w:vAlign w:val="center"/>
          </w:tcPr>
          <w:p>
            <w:pPr>
              <w:pStyle w:val="28"/>
            </w:pPr>
            <w:r>
              <w:t>影响力</w:t>
            </w:r>
          </w:p>
        </w:tc>
        <w:tc>
          <w:tcPr>
            <w:tcW w:w="2835" w:type="dxa"/>
            <w:vAlign w:val="center"/>
          </w:tcPr>
          <w:p>
            <w:pPr>
              <w:pStyle w:val="28"/>
            </w:pPr>
            <w:r>
              <w:t>能够长期较好地开展展演、展映、展播、展示，长期满足人民群众对精神文化的需求</w:t>
            </w:r>
          </w:p>
        </w:tc>
        <w:tc>
          <w:tcPr>
            <w:tcW w:w="2551" w:type="dxa"/>
            <w:vAlign w:val="center"/>
          </w:tcPr>
          <w:p>
            <w:pPr>
              <w:pStyle w:val="28"/>
            </w:pPr>
            <w:r>
              <w:t>≥80%</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对经济发展的贡献率</w:t>
            </w:r>
          </w:p>
        </w:tc>
        <w:tc>
          <w:tcPr>
            <w:tcW w:w="2835" w:type="dxa"/>
            <w:vAlign w:val="center"/>
          </w:tcPr>
          <w:p>
            <w:pPr>
              <w:pStyle w:val="28"/>
            </w:pPr>
            <w:r>
              <w:t>反映文化产业对经济发展的拉动作用</w:t>
            </w:r>
          </w:p>
        </w:tc>
        <w:tc>
          <w:tcPr>
            <w:tcW w:w="2551" w:type="dxa"/>
            <w:vAlign w:val="center"/>
          </w:tcPr>
          <w:p>
            <w:pPr>
              <w:pStyle w:val="28"/>
            </w:pPr>
            <w:r>
              <w:t>≥80%</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宣传正能量</w:t>
            </w:r>
          </w:p>
        </w:tc>
        <w:tc>
          <w:tcPr>
            <w:tcW w:w="2835" w:type="dxa"/>
            <w:vAlign w:val="center"/>
          </w:tcPr>
          <w:p>
            <w:pPr>
              <w:pStyle w:val="28"/>
            </w:pPr>
            <w:r>
              <w:t>反映新媒体、全媒体项目在宣传党和政府声音、传播正能量方面的报道情况</w:t>
            </w:r>
          </w:p>
        </w:tc>
        <w:tc>
          <w:tcPr>
            <w:tcW w:w="2551" w:type="dxa"/>
            <w:vAlign w:val="center"/>
          </w:tcPr>
          <w:p>
            <w:pPr>
              <w:pStyle w:val="28"/>
            </w:pPr>
            <w:r>
              <w:t>≥80%</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阅读者对报刊订阅工作的满意程度</w:t>
            </w:r>
          </w:p>
        </w:tc>
        <w:tc>
          <w:tcPr>
            <w:tcW w:w="2551" w:type="dxa"/>
            <w:vAlign w:val="center"/>
          </w:tcPr>
          <w:p>
            <w:pPr>
              <w:pStyle w:val="28"/>
            </w:pPr>
            <w:r>
              <w:t>≥90%</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群众满意数量占总数的比例</w:t>
            </w:r>
          </w:p>
        </w:tc>
        <w:tc>
          <w:tcPr>
            <w:tcW w:w="2551" w:type="dxa"/>
            <w:vAlign w:val="center"/>
          </w:tcPr>
          <w:p>
            <w:pPr>
              <w:pStyle w:val="28"/>
            </w:pPr>
            <w:r>
              <w:t>≥90%</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文化活动参与者满意度情况</w:t>
            </w:r>
          </w:p>
        </w:tc>
        <w:tc>
          <w:tcPr>
            <w:tcW w:w="2835" w:type="dxa"/>
            <w:vAlign w:val="center"/>
          </w:tcPr>
          <w:p>
            <w:pPr>
              <w:pStyle w:val="28"/>
            </w:pPr>
            <w:r>
              <w:t>文化活动参与者满意人数占参与人数的比例</w:t>
            </w:r>
          </w:p>
        </w:tc>
        <w:tc>
          <w:tcPr>
            <w:tcW w:w="2551" w:type="dxa"/>
            <w:vAlign w:val="center"/>
          </w:tcPr>
          <w:p>
            <w:pPr>
              <w:pStyle w:val="28"/>
            </w:pPr>
            <w:r>
              <w:t>≥90%</w:t>
            </w:r>
          </w:p>
        </w:tc>
        <w:tc>
          <w:tcPr>
            <w:tcW w:w="2268" w:type="dxa"/>
            <w:vAlign w:val="center"/>
          </w:tcPr>
          <w:p>
            <w:pPr>
              <w:pStyle w:val="28"/>
            </w:pPr>
            <w:r>
              <w:t>依据相关政策文件确定</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3、人大代表活动绩效目标表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1.目标内容1保证各项代表工作正常开展</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培训人数</w:t>
            </w:r>
          </w:p>
        </w:tc>
        <w:tc>
          <w:tcPr>
            <w:tcW w:w="2835" w:type="dxa"/>
            <w:vAlign w:val="center"/>
          </w:tcPr>
          <w:p>
            <w:pPr>
              <w:pStyle w:val="28"/>
            </w:pPr>
            <w:r>
              <w:t>培训人数</w:t>
            </w:r>
          </w:p>
        </w:tc>
        <w:tc>
          <w:tcPr>
            <w:tcW w:w="2551" w:type="dxa"/>
            <w:vAlign w:val="center"/>
          </w:tcPr>
          <w:p>
            <w:pPr>
              <w:pStyle w:val="28"/>
            </w:pPr>
            <w:r>
              <w:t>≥90%</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培训合格率</w:t>
            </w:r>
          </w:p>
        </w:tc>
        <w:tc>
          <w:tcPr>
            <w:tcW w:w="2835" w:type="dxa"/>
            <w:vAlign w:val="center"/>
          </w:tcPr>
          <w:p>
            <w:pPr>
              <w:pStyle w:val="28"/>
            </w:pPr>
            <w:r>
              <w:t>培训完成情况</w:t>
            </w:r>
          </w:p>
        </w:tc>
        <w:tc>
          <w:tcPr>
            <w:tcW w:w="2551" w:type="dxa"/>
            <w:vAlign w:val="center"/>
          </w:tcPr>
          <w:p>
            <w:pPr>
              <w:pStyle w:val="28"/>
            </w:pPr>
            <w:r>
              <w:t>实现代表履职能力提升</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会议培训完成时间</w:t>
            </w:r>
          </w:p>
          <w:p>
            <w:pPr>
              <w:pStyle w:val="28"/>
            </w:pPr>
          </w:p>
          <w:p>
            <w:pPr>
              <w:pStyle w:val="28"/>
            </w:pPr>
          </w:p>
        </w:tc>
        <w:tc>
          <w:tcPr>
            <w:tcW w:w="2835" w:type="dxa"/>
            <w:vAlign w:val="center"/>
          </w:tcPr>
          <w:p>
            <w:pPr>
              <w:pStyle w:val="28"/>
            </w:pPr>
            <w:r>
              <w:t>按时完成会议培训</w:t>
            </w:r>
          </w:p>
          <w:p>
            <w:pPr>
              <w:pStyle w:val="28"/>
            </w:pPr>
          </w:p>
        </w:tc>
        <w:tc>
          <w:tcPr>
            <w:tcW w:w="2551" w:type="dxa"/>
            <w:vAlign w:val="center"/>
          </w:tcPr>
          <w:p>
            <w:pPr>
              <w:pStyle w:val="28"/>
            </w:pPr>
            <w:r>
              <w:t>完成培训</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预算控制数</w:t>
            </w:r>
          </w:p>
        </w:tc>
        <w:tc>
          <w:tcPr>
            <w:tcW w:w="2835" w:type="dxa"/>
            <w:vAlign w:val="center"/>
          </w:tcPr>
          <w:p>
            <w:pPr>
              <w:pStyle w:val="28"/>
            </w:pPr>
            <w:r>
              <w:t>预算控制数</w:t>
            </w:r>
          </w:p>
        </w:tc>
        <w:tc>
          <w:tcPr>
            <w:tcW w:w="2551" w:type="dxa"/>
            <w:vAlign w:val="center"/>
          </w:tcPr>
          <w:p>
            <w:pPr>
              <w:pStyle w:val="28"/>
            </w:pPr>
            <w:r>
              <w:t>控制在预算范围内</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确保培训政治导向正确</w:t>
            </w:r>
          </w:p>
        </w:tc>
        <w:tc>
          <w:tcPr>
            <w:tcW w:w="2835" w:type="dxa"/>
            <w:vAlign w:val="center"/>
          </w:tcPr>
          <w:p>
            <w:pPr>
              <w:pStyle w:val="28"/>
            </w:pPr>
            <w:r>
              <w:t>培训项目不出现上级通报的意识形态重大问题（个）</w:t>
            </w:r>
          </w:p>
        </w:tc>
        <w:tc>
          <w:tcPr>
            <w:tcW w:w="2551" w:type="dxa"/>
            <w:vAlign w:val="center"/>
          </w:tcPr>
          <w:p>
            <w:pPr>
              <w:pStyle w:val="28"/>
            </w:pPr>
            <w:r>
              <w:t>绝不能出现</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达到绿色产业标准</w:t>
            </w:r>
          </w:p>
        </w:tc>
        <w:tc>
          <w:tcPr>
            <w:tcW w:w="2835" w:type="dxa"/>
            <w:vAlign w:val="center"/>
          </w:tcPr>
          <w:p>
            <w:pPr>
              <w:pStyle w:val="28"/>
            </w:pPr>
            <w:r>
              <w:t>鼓励代表们大力发展绿色产业</w:t>
            </w:r>
          </w:p>
        </w:tc>
        <w:tc>
          <w:tcPr>
            <w:tcW w:w="2551" w:type="dxa"/>
            <w:vAlign w:val="center"/>
          </w:tcPr>
          <w:p>
            <w:pPr>
              <w:pStyle w:val="28"/>
            </w:pPr>
            <w:r>
              <w:t>走绿色发展道路</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影响力</w:t>
            </w:r>
          </w:p>
        </w:tc>
        <w:tc>
          <w:tcPr>
            <w:tcW w:w="2835" w:type="dxa"/>
            <w:vAlign w:val="center"/>
          </w:tcPr>
          <w:p>
            <w:pPr>
              <w:pStyle w:val="28"/>
            </w:pPr>
            <w:r>
              <w:t>能够长期较好地代表人民利益</w:t>
            </w:r>
          </w:p>
        </w:tc>
        <w:tc>
          <w:tcPr>
            <w:tcW w:w="2551" w:type="dxa"/>
            <w:vAlign w:val="center"/>
          </w:tcPr>
          <w:p>
            <w:pPr>
              <w:pStyle w:val="28"/>
            </w:pPr>
            <w:r>
              <w:t>真正代表人民利益</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群众满意程度</w:t>
            </w:r>
          </w:p>
        </w:tc>
        <w:tc>
          <w:tcPr>
            <w:tcW w:w="2551" w:type="dxa"/>
            <w:vAlign w:val="center"/>
          </w:tcPr>
          <w:p>
            <w:pPr>
              <w:pStyle w:val="28"/>
            </w:pPr>
            <w:r>
              <w:t>≥90%</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代表满意度</w:t>
            </w:r>
          </w:p>
        </w:tc>
        <w:tc>
          <w:tcPr>
            <w:tcW w:w="2835" w:type="dxa"/>
            <w:vAlign w:val="center"/>
          </w:tcPr>
          <w:p>
            <w:pPr>
              <w:pStyle w:val="28"/>
            </w:pPr>
            <w:r>
              <w:t>代表满意程度</w:t>
            </w:r>
          </w:p>
        </w:tc>
        <w:tc>
          <w:tcPr>
            <w:tcW w:w="2551" w:type="dxa"/>
            <w:vAlign w:val="center"/>
          </w:tcPr>
          <w:p>
            <w:pPr>
              <w:pStyle w:val="28"/>
            </w:pPr>
            <w:r>
              <w:t>≥90%</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培训参与者满意度情况</w:t>
            </w:r>
          </w:p>
        </w:tc>
        <w:tc>
          <w:tcPr>
            <w:tcW w:w="2835" w:type="dxa"/>
            <w:vAlign w:val="center"/>
          </w:tcPr>
          <w:p>
            <w:pPr>
              <w:pStyle w:val="28"/>
            </w:pPr>
            <w:r>
              <w:t>培训活动参与者满意人数占参与人数的比例</w:t>
            </w:r>
          </w:p>
        </w:tc>
        <w:tc>
          <w:tcPr>
            <w:tcW w:w="2551" w:type="dxa"/>
            <w:vAlign w:val="center"/>
          </w:tcPr>
          <w:p>
            <w:pPr>
              <w:pStyle w:val="28"/>
            </w:pPr>
            <w:r>
              <w:t>≥90%</w:t>
            </w:r>
          </w:p>
        </w:tc>
        <w:tc>
          <w:tcPr>
            <w:tcW w:w="2268" w:type="dxa"/>
            <w:vAlign w:val="center"/>
          </w:tcPr>
          <w:p>
            <w:pPr>
              <w:pStyle w:val="28"/>
            </w:pPr>
            <w:r>
              <w:t>依据相关政策文件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4、人大会议费绩效目标表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1.目标内容1确保县人大代表会议召开成功</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召开会议次数</w:t>
            </w:r>
          </w:p>
        </w:tc>
        <w:tc>
          <w:tcPr>
            <w:tcW w:w="2835" w:type="dxa"/>
            <w:vAlign w:val="center"/>
          </w:tcPr>
          <w:p>
            <w:pPr>
              <w:pStyle w:val="28"/>
            </w:pPr>
            <w:r>
              <w:t>召开会议次数</w:t>
            </w:r>
          </w:p>
        </w:tc>
        <w:tc>
          <w:tcPr>
            <w:tcW w:w="2551" w:type="dxa"/>
            <w:vAlign w:val="center"/>
          </w:tcPr>
          <w:p>
            <w:pPr>
              <w:pStyle w:val="28"/>
            </w:pPr>
            <w:r>
              <w:t>召开</w:t>
            </w:r>
          </w:p>
        </w:tc>
        <w:tc>
          <w:tcPr>
            <w:tcW w:w="2268" w:type="dxa"/>
            <w:vAlign w:val="center"/>
          </w:tcPr>
          <w:p>
            <w:pPr>
              <w:pStyle w:val="28"/>
            </w:pPr>
            <w: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会议落实情况</w:t>
            </w:r>
          </w:p>
        </w:tc>
        <w:tc>
          <w:tcPr>
            <w:tcW w:w="2835" w:type="dxa"/>
            <w:vAlign w:val="center"/>
          </w:tcPr>
          <w:p>
            <w:pPr>
              <w:pStyle w:val="28"/>
            </w:pPr>
            <w:r>
              <w:t>会议精神传达落实情况</w:t>
            </w:r>
          </w:p>
        </w:tc>
        <w:tc>
          <w:tcPr>
            <w:tcW w:w="2551" w:type="dxa"/>
            <w:vAlign w:val="center"/>
          </w:tcPr>
          <w:p>
            <w:pPr>
              <w:pStyle w:val="28"/>
            </w:pPr>
            <w:r>
              <w:t>有效传达</w:t>
            </w:r>
          </w:p>
        </w:tc>
        <w:tc>
          <w:tcPr>
            <w:tcW w:w="2268" w:type="dxa"/>
            <w:vAlign w:val="center"/>
          </w:tcPr>
          <w:p>
            <w:pPr>
              <w:pStyle w:val="28"/>
            </w:pPr>
            <w: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会议按预期召开</w:t>
            </w:r>
          </w:p>
        </w:tc>
        <w:tc>
          <w:tcPr>
            <w:tcW w:w="2835" w:type="dxa"/>
            <w:vAlign w:val="center"/>
          </w:tcPr>
          <w:p>
            <w:pPr>
              <w:pStyle w:val="28"/>
            </w:pPr>
            <w:r>
              <w:t>会议按预期召开</w:t>
            </w:r>
          </w:p>
        </w:tc>
        <w:tc>
          <w:tcPr>
            <w:tcW w:w="2551" w:type="dxa"/>
            <w:vAlign w:val="center"/>
          </w:tcPr>
          <w:p>
            <w:pPr>
              <w:pStyle w:val="28"/>
            </w:pPr>
            <w:r>
              <w:t>如期召开</w:t>
            </w:r>
          </w:p>
        </w:tc>
        <w:tc>
          <w:tcPr>
            <w:tcW w:w="2268" w:type="dxa"/>
            <w:vAlign w:val="center"/>
          </w:tcPr>
          <w:p>
            <w:pPr>
              <w:pStyle w:val="28"/>
            </w:pPr>
            <w: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控制在预算成本内</w:t>
            </w:r>
          </w:p>
        </w:tc>
        <w:tc>
          <w:tcPr>
            <w:tcW w:w="2835" w:type="dxa"/>
            <w:vAlign w:val="center"/>
          </w:tcPr>
          <w:p>
            <w:pPr>
              <w:pStyle w:val="28"/>
            </w:pPr>
            <w:r>
              <w:t>控制在预算成本内</w:t>
            </w:r>
          </w:p>
        </w:tc>
        <w:tc>
          <w:tcPr>
            <w:tcW w:w="2551" w:type="dxa"/>
            <w:vAlign w:val="center"/>
          </w:tcPr>
          <w:p>
            <w:pPr>
              <w:pStyle w:val="28"/>
            </w:pPr>
            <w:r>
              <w:t>≥90%</w:t>
            </w:r>
          </w:p>
        </w:tc>
        <w:tc>
          <w:tcPr>
            <w:tcW w:w="2268" w:type="dxa"/>
            <w:vAlign w:val="center"/>
          </w:tcPr>
          <w:p>
            <w:pPr>
              <w:pStyle w:val="28"/>
            </w:pPr>
            <w: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可持续影响指标</w:t>
            </w:r>
          </w:p>
        </w:tc>
        <w:tc>
          <w:tcPr>
            <w:tcW w:w="2835" w:type="dxa"/>
            <w:vAlign w:val="center"/>
          </w:tcPr>
          <w:p>
            <w:pPr>
              <w:pStyle w:val="28"/>
            </w:pPr>
            <w:r>
              <w:t>提案采纳率</w:t>
            </w:r>
          </w:p>
        </w:tc>
        <w:tc>
          <w:tcPr>
            <w:tcW w:w="2835" w:type="dxa"/>
            <w:vAlign w:val="center"/>
          </w:tcPr>
          <w:p>
            <w:pPr>
              <w:pStyle w:val="28"/>
            </w:pPr>
            <w:r>
              <w:t>被采纳的提案率占总数量的比率</w:t>
            </w:r>
          </w:p>
        </w:tc>
        <w:tc>
          <w:tcPr>
            <w:tcW w:w="2551" w:type="dxa"/>
            <w:vAlign w:val="center"/>
          </w:tcPr>
          <w:p>
            <w:pPr>
              <w:pStyle w:val="28"/>
            </w:pPr>
            <w:r>
              <w:t>≥90%</w:t>
            </w:r>
          </w:p>
        </w:tc>
        <w:tc>
          <w:tcPr>
            <w:tcW w:w="2268" w:type="dxa"/>
            <w:vAlign w:val="center"/>
          </w:tcPr>
          <w:p>
            <w:pPr>
              <w:pStyle w:val="28"/>
            </w:pPr>
            <w: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资金的使用效率</w:t>
            </w:r>
          </w:p>
        </w:tc>
        <w:tc>
          <w:tcPr>
            <w:tcW w:w="2835" w:type="dxa"/>
            <w:vAlign w:val="center"/>
          </w:tcPr>
          <w:p>
            <w:pPr>
              <w:pStyle w:val="28"/>
            </w:pPr>
            <w:r>
              <w:t>资金的使用效率</w:t>
            </w:r>
          </w:p>
        </w:tc>
        <w:tc>
          <w:tcPr>
            <w:tcW w:w="2551" w:type="dxa"/>
            <w:vAlign w:val="center"/>
          </w:tcPr>
          <w:p>
            <w:pPr>
              <w:pStyle w:val="28"/>
            </w:pPr>
            <w:r>
              <w:t>≥90%</w:t>
            </w:r>
          </w:p>
        </w:tc>
        <w:tc>
          <w:tcPr>
            <w:tcW w:w="2268" w:type="dxa"/>
            <w:vAlign w:val="center"/>
          </w:tcPr>
          <w:p>
            <w:pPr>
              <w:pStyle w:val="28"/>
            </w:pPr>
            <w: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意见建议采纳率</w:t>
            </w:r>
          </w:p>
        </w:tc>
        <w:tc>
          <w:tcPr>
            <w:tcW w:w="2835" w:type="dxa"/>
            <w:vAlign w:val="center"/>
          </w:tcPr>
          <w:p>
            <w:pPr>
              <w:pStyle w:val="28"/>
            </w:pPr>
            <w:r>
              <w:t>被采纳意见建议数量占总数量比率</w:t>
            </w:r>
          </w:p>
        </w:tc>
        <w:tc>
          <w:tcPr>
            <w:tcW w:w="2551" w:type="dxa"/>
            <w:vAlign w:val="center"/>
          </w:tcPr>
          <w:p>
            <w:pPr>
              <w:pStyle w:val="28"/>
            </w:pPr>
            <w:r>
              <w:t>≥90%</w:t>
            </w:r>
          </w:p>
        </w:tc>
        <w:tc>
          <w:tcPr>
            <w:tcW w:w="2268" w:type="dxa"/>
            <w:vAlign w:val="center"/>
          </w:tcPr>
          <w:p>
            <w:pPr>
              <w:pStyle w:val="28"/>
            </w:pPr>
            <w: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群众对当会议整体满意度</w:t>
            </w:r>
          </w:p>
        </w:tc>
        <w:tc>
          <w:tcPr>
            <w:tcW w:w="2551" w:type="dxa"/>
            <w:vAlign w:val="center"/>
          </w:tcPr>
          <w:p>
            <w:pPr>
              <w:pStyle w:val="28"/>
            </w:pPr>
            <w:r>
              <w:t>满意</w:t>
            </w:r>
          </w:p>
        </w:tc>
        <w:tc>
          <w:tcPr>
            <w:tcW w:w="2268" w:type="dxa"/>
            <w:vAlign w:val="center"/>
          </w:tcPr>
          <w:p>
            <w:pPr>
              <w:pStyle w:val="28"/>
            </w:pPr>
            <w: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人民群众对人大工作的满意程度</w:t>
            </w:r>
          </w:p>
        </w:tc>
        <w:tc>
          <w:tcPr>
            <w:tcW w:w="2551" w:type="dxa"/>
            <w:vAlign w:val="center"/>
          </w:tcPr>
          <w:p>
            <w:pPr>
              <w:pStyle w:val="28"/>
            </w:pPr>
            <w:r>
              <w:t>满意</w:t>
            </w:r>
          </w:p>
        </w:tc>
        <w:tc>
          <w:tcPr>
            <w:tcW w:w="2268" w:type="dxa"/>
            <w:vAlign w:val="center"/>
          </w:tcPr>
          <w:p>
            <w:pPr>
              <w:pStyle w:val="28"/>
            </w:pPr>
            <w: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人大工作参与者满意度情况</w:t>
            </w:r>
          </w:p>
        </w:tc>
        <w:tc>
          <w:tcPr>
            <w:tcW w:w="2835" w:type="dxa"/>
            <w:vAlign w:val="center"/>
          </w:tcPr>
          <w:p>
            <w:pPr>
              <w:pStyle w:val="28"/>
            </w:pPr>
            <w:r>
              <w:t>人大工作参与者满意人数占参与人数的比例</w:t>
            </w:r>
          </w:p>
        </w:tc>
        <w:tc>
          <w:tcPr>
            <w:tcW w:w="2551" w:type="dxa"/>
            <w:vAlign w:val="center"/>
          </w:tcPr>
          <w:p>
            <w:pPr>
              <w:pStyle w:val="28"/>
            </w:pPr>
            <w:r>
              <w:t>满意</w:t>
            </w:r>
          </w:p>
        </w:tc>
        <w:tc>
          <w:tcPr>
            <w:tcW w:w="2268" w:type="dxa"/>
            <w:vAlign w:val="center"/>
          </w:tcPr>
          <w:p>
            <w:pPr>
              <w:pStyle w:val="28"/>
            </w:pPr>
            <w:r>
              <w:t>依据单位指标考核</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5、人大专项工作经费绩效目标表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1.目标内容1保证人大机关正常运行</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覆盖率</w:t>
            </w:r>
          </w:p>
        </w:tc>
        <w:tc>
          <w:tcPr>
            <w:tcW w:w="2835" w:type="dxa"/>
            <w:vAlign w:val="center"/>
          </w:tcPr>
          <w:p>
            <w:pPr>
              <w:pStyle w:val="28"/>
            </w:pPr>
            <w:r>
              <w:t>人大监督范围</w:t>
            </w:r>
          </w:p>
        </w:tc>
        <w:tc>
          <w:tcPr>
            <w:tcW w:w="2551" w:type="dxa"/>
            <w:vAlign w:val="center"/>
          </w:tcPr>
          <w:p>
            <w:pPr>
              <w:pStyle w:val="28"/>
            </w:pPr>
            <w:r>
              <w:t>≥80%</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重要工作督办完成率</w:t>
            </w:r>
          </w:p>
          <w:p>
            <w:pPr>
              <w:pStyle w:val="28"/>
            </w:pPr>
          </w:p>
          <w:p>
            <w:pPr>
              <w:pStyle w:val="28"/>
            </w:pPr>
          </w:p>
        </w:tc>
        <w:tc>
          <w:tcPr>
            <w:tcW w:w="2835" w:type="dxa"/>
            <w:vAlign w:val="center"/>
          </w:tcPr>
          <w:p>
            <w:pPr>
              <w:pStyle w:val="28"/>
            </w:pPr>
            <w:r>
              <w:t>重要工作有效完成督办</w:t>
            </w:r>
          </w:p>
          <w:p>
            <w:pPr>
              <w:pStyle w:val="28"/>
            </w:pPr>
          </w:p>
        </w:tc>
        <w:tc>
          <w:tcPr>
            <w:tcW w:w="2551" w:type="dxa"/>
            <w:vAlign w:val="center"/>
          </w:tcPr>
          <w:p>
            <w:pPr>
              <w:pStyle w:val="28"/>
            </w:pPr>
            <w:r>
              <w:t>≥80%</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开展工作时效性</w:t>
            </w:r>
          </w:p>
          <w:p>
            <w:pPr>
              <w:pStyle w:val="28"/>
            </w:pPr>
          </w:p>
          <w:p>
            <w:pPr>
              <w:pStyle w:val="28"/>
            </w:pPr>
          </w:p>
        </w:tc>
        <w:tc>
          <w:tcPr>
            <w:tcW w:w="2835" w:type="dxa"/>
            <w:vAlign w:val="center"/>
          </w:tcPr>
          <w:p>
            <w:pPr>
              <w:pStyle w:val="28"/>
            </w:pPr>
            <w:r>
              <w:t>开展工作按时有效</w:t>
            </w:r>
          </w:p>
          <w:p>
            <w:pPr>
              <w:pStyle w:val="28"/>
            </w:pPr>
          </w:p>
        </w:tc>
        <w:tc>
          <w:tcPr>
            <w:tcW w:w="2551" w:type="dxa"/>
            <w:vAlign w:val="center"/>
          </w:tcPr>
          <w:p>
            <w:pPr>
              <w:pStyle w:val="28"/>
            </w:pPr>
            <w:r>
              <w:t>≥80%</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控制在预算成本内</w:t>
            </w:r>
          </w:p>
        </w:tc>
        <w:tc>
          <w:tcPr>
            <w:tcW w:w="2835" w:type="dxa"/>
            <w:vAlign w:val="center"/>
          </w:tcPr>
          <w:p>
            <w:pPr>
              <w:pStyle w:val="28"/>
            </w:pPr>
            <w:r>
              <w:t>控制在预算成本内</w:t>
            </w:r>
          </w:p>
        </w:tc>
        <w:tc>
          <w:tcPr>
            <w:tcW w:w="2551" w:type="dxa"/>
            <w:vAlign w:val="center"/>
          </w:tcPr>
          <w:p>
            <w:pPr>
              <w:pStyle w:val="28"/>
            </w:pPr>
            <w:r>
              <w:t>≥90%</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可持续影响指标</w:t>
            </w:r>
          </w:p>
        </w:tc>
        <w:tc>
          <w:tcPr>
            <w:tcW w:w="2835" w:type="dxa"/>
            <w:vAlign w:val="center"/>
          </w:tcPr>
          <w:p>
            <w:pPr>
              <w:pStyle w:val="28"/>
            </w:pPr>
            <w:r>
              <w:t>提高政府公信力</w:t>
            </w:r>
          </w:p>
        </w:tc>
        <w:tc>
          <w:tcPr>
            <w:tcW w:w="2835" w:type="dxa"/>
            <w:vAlign w:val="center"/>
          </w:tcPr>
          <w:p>
            <w:pPr>
              <w:pStyle w:val="28"/>
            </w:pPr>
            <w:r>
              <w:t>通过人大监督提高利于转变政府职能，提高政府服务人民的能力</w:t>
            </w:r>
          </w:p>
        </w:tc>
        <w:tc>
          <w:tcPr>
            <w:tcW w:w="2551" w:type="dxa"/>
            <w:vAlign w:val="center"/>
          </w:tcPr>
          <w:p>
            <w:pPr>
              <w:pStyle w:val="28"/>
            </w:pPr>
            <w:r>
              <w:t>促进政府职能转变</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问题整改挽回损失金额比率</w:t>
            </w:r>
          </w:p>
        </w:tc>
        <w:tc>
          <w:tcPr>
            <w:tcW w:w="2835" w:type="dxa"/>
            <w:vAlign w:val="center"/>
          </w:tcPr>
          <w:p>
            <w:pPr>
              <w:pStyle w:val="28"/>
            </w:pPr>
            <w:r>
              <w:t>问题整改挽回损失金额占挽回损失总金额的百分比</w:t>
            </w:r>
          </w:p>
        </w:tc>
        <w:tc>
          <w:tcPr>
            <w:tcW w:w="2551" w:type="dxa"/>
            <w:vAlign w:val="center"/>
          </w:tcPr>
          <w:p>
            <w:pPr>
              <w:pStyle w:val="28"/>
            </w:pPr>
            <w:r>
              <w:t>≥75%</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爱国主义教育基地参观学习人次</w:t>
            </w:r>
          </w:p>
        </w:tc>
        <w:tc>
          <w:tcPr>
            <w:tcW w:w="2835" w:type="dxa"/>
            <w:vAlign w:val="center"/>
          </w:tcPr>
          <w:p>
            <w:pPr>
              <w:pStyle w:val="28"/>
            </w:pPr>
            <w:r>
              <w:t>组织前往爱国主义教育基地参观的数量（人次）</w:t>
            </w:r>
          </w:p>
        </w:tc>
        <w:tc>
          <w:tcPr>
            <w:tcW w:w="2551" w:type="dxa"/>
            <w:vAlign w:val="center"/>
          </w:tcPr>
          <w:p>
            <w:pPr>
              <w:pStyle w:val="28"/>
            </w:pPr>
            <w:r>
              <w:t>200</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人民群众满意程度</w:t>
            </w:r>
          </w:p>
        </w:tc>
        <w:tc>
          <w:tcPr>
            <w:tcW w:w="2551" w:type="dxa"/>
            <w:vAlign w:val="center"/>
          </w:tcPr>
          <w:p>
            <w:pPr>
              <w:pStyle w:val="28"/>
            </w:pPr>
            <w:r>
              <w:t>满意</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群众满意数量占总数的比例</w:t>
            </w:r>
          </w:p>
        </w:tc>
        <w:tc>
          <w:tcPr>
            <w:tcW w:w="2551" w:type="dxa"/>
            <w:vAlign w:val="center"/>
          </w:tcPr>
          <w:p>
            <w:pPr>
              <w:pStyle w:val="28"/>
            </w:pPr>
            <w:r>
              <w:t>≥85%</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群众对当年人大监督工作的整体满意度</w:t>
            </w:r>
          </w:p>
        </w:tc>
        <w:tc>
          <w:tcPr>
            <w:tcW w:w="2551" w:type="dxa"/>
            <w:vAlign w:val="center"/>
          </w:tcPr>
          <w:p>
            <w:pPr>
              <w:pStyle w:val="28"/>
            </w:pPr>
            <w:r>
              <w:t>满意</w:t>
            </w:r>
          </w:p>
        </w:tc>
        <w:tc>
          <w:tcPr>
            <w:tcW w:w="2268" w:type="dxa"/>
            <w:vAlign w:val="center"/>
          </w:tcPr>
          <w:p>
            <w:pPr>
              <w:pStyle w:val="28"/>
            </w:pPr>
            <w:r>
              <w:t>依据相关政策文件确定</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6、五星代表之家联络站绩效目标表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1.目标内容1高质量组织代表培训学习，提高代表履职能力</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家站利用率</w:t>
            </w:r>
          </w:p>
        </w:tc>
        <w:tc>
          <w:tcPr>
            <w:tcW w:w="2835" w:type="dxa"/>
            <w:vAlign w:val="center"/>
          </w:tcPr>
          <w:p>
            <w:pPr>
              <w:pStyle w:val="28"/>
            </w:pPr>
            <w:r>
              <w:t>依托家站组织培训学习活动次数</w:t>
            </w:r>
          </w:p>
        </w:tc>
        <w:tc>
          <w:tcPr>
            <w:tcW w:w="2551" w:type="dxa"/>
            <w:vAlign w:val="center"/>
          </w:tcPr>
          <w:p>
            <w:pPr>
              <w:pStyle w:val="28"/>
            </w:pPr>
            <w:r>
              <w:t>＞85利用率在85%以上</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提高代表履职能力</w:t>
            </w:r>
          </w:p>
        </w:tc>
        <w:tc>
          <w:tcPr>
            <w:tcW w:w="2835" w:type="dxa"/>
            <w:vAlign w:val="center"/>
          </w:tcPr>
          <w:p>
            <w:pPr>
              <w:pStyle w:val="28"/>
            </w:pPr>
            <w:r>
              <w:t>代表依法履职步入制度化、常态化轨道</w:t>
            </w:r>
          </w:p>
        </w:tc>
        <w:tc>
          <w:tcPr>
            <w:tcW w:w="2551" w:type="dxa"/>
            <w:vAlign w:val="center"/>
          </w:tcPr>
          <w:p>
            <w:pPr>
              <w:pStyle w:val="28"/>
            </w:pPr>
            <w:r>
              <w:t>代表依法履职步入制度化、常态化轨道</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及时性</w:t>
            </w:r>
          </w:p>
        </w:tc>
        <w:tc>
          <w:tcPr>
            <w:tcW w:w="2835" w:type="dxa"/>
            <w:vAlign w:val="center"/>
          </w:tcPr>
          <w:p>
            <w:pPr>
              <w:pStyle w:val="28"/>
            </w:pPr>
            <w:r>
              <w:t>及时高效征集意见建议</w:t>
            </w:r>
          </w:p>
        </w:tc>
        <w:tc>
          <w:tcPr>
            <w:tcW w:w="2551" w:type="dxa"/>
            <w:vAlign w:val="center"/>
          </w:tcPr>
          <w:p>
            <w:pPr>
              <w:pStyle w:val="28"/>
            </w:pPr>
            <w:r>
              <w:t>及时高效</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控制在预算成本内</w:t>
            </w:r>
          </w:p>
        </w:tc>
        <w:tc>
          <w:tcPr>
            <w:tcW w:w="2835" w:type="dxa"/>
            <w:vAlign w:val="center"/>
          </w:tcPr>
          <w:p>
            <w:pPr>
              <w:pStyle w:val="28"/>
            </w:pPr>
            <w:r>
              <w:t>控制在预算成本内</w:t>
            </w:r>
          </w:p>
        </w:tc>
        <w:tc>
          <w:tcPr>
            <w:tcW w:w="2551" w:type="dxa"/>
            <w:vAlign w:val="center"/>
          </w:tcPr>
          <w:p>
            <w:pPr>
              <w:pStyle w:val="28"/>
            </w:pPr>
            <w:r>
              <w:t>≥90严控成本</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满足群众需求</w:t>
            </w:r>
          </w:p>
        </w:tc>
        <w:tc>
          <w:tcPr>
            <w:tcW w:w="2835" w:type="dxa"/>
            <w:vAlign w:val="center"/>
          </w:tcPr>
          <w:p>
            <w:pPr>
              <w:pStyle w:val="28"/>
            </w:pPr>
            <w:r>
              <w:t>满足群众反映实际问题的要求</w:t>
            </w:r>
          </w:p>
        </w:tc>
        <w:tc>
          <w:tcPr>
            <w:tcW w:w="2551" w:type="dxa"/>
            <w:vAlign w:val="center"/>
          </w:tcPr>
          <w:p>
            <w:pPr>
              <w:pStyle w:val="28"/>
            </w:pPr>
            <w:r>
              <w:t>≥90较好的满足群众反映实际问题的要求</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充分发挥联系服务群众作用</w:t>
            </w:r>
          </w:p>
        </w:tc>
        <w:tc>
          <w:tcPr>
            <w:tcW w:w="2835" w:type="dxa"/>
            <w:vAlign w:val="center"/>
          </w:tcPr>
          <w:p>
            <w:pPr>
              <w:pStyle w:val="28"/>
            </w:pPr>
            <w:r>
              <w:t>充分发挥联系服务群众作用</w:t>
            </w:r>
          </w:p>
        </w:tc>
        <w:tc>
          <w:tcPr>
            <w:tcW w:w="2551" w:type="dxa"/>
            <w:vAlign w:val="center"/>
          </w:tcPr>
          <w:p>
            <w:pPr>
              <w:pStyle w:val="28"/>
            </w:pPr>
            <w:r>
              <w:t>＞85充分发挥联系服务群众作用</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长期使用性</w:t>
            </w:r>
          </w:p>
        </w:tc>
        <w:tc>
          <w:tcPr>
            <w:tcW w:w="2835" w:type="dxa"/>
            <w:vAlign w:val="center"/>
          </w:tcPr>
          <w:p>
            <w:pPr>
              <w:pStyle w:val="28"/>
            </w:pPr>
            <w:r>
              <w:t>长期使用</w:t>
            </w:r>
          </w:p>
        </w:tc>
        <w:tc>
          <w:tcPr>
            <w:tcW w:w="2551" w:type="dxa"/>
            <w:vAlign w:val="center"/>
          </w:tcPr>
          <w:p>
            <w:pPr>
              <w:pStyle w:val="28"/>
            </w:pPr>
            <w:r>
              <w:t>长期使用</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达到绿色产业标准</w:t>
            </w:r>
          </w:p>
        </w:tc>
        <w:tc>
          <w:tcPr>
            <w:tcW w:w="2835" w:type="dxa"/>
            <w:vAlign w:val="center"/>
          </w:tcPr>
          <w:p>
            <w:pPr>
              <w:pStyle w:val="28"/>
            </w:pPr>
            <w:r>
              <w:t>达到绿色产业标准</w:t>
            </w:r>
          </w:p>
        </w:tc>
        <w:tc>
          <w:tcPr>
            <w:tcW w:w="2551" w:type="dxa"/>
            <w:vAlign w:val="center"/>
          </w:tcPr>
          <w:p>
            <w:pPr>
              <w:pStyle w:val="28"/>
            </w:pPr>
            <w:r>
              <w:t>≥80推动绿色产业发展</w:t>
            </w:r>
          </w:p>
        </w:tc>
        <w:tc>
          <w:tcPr>
            <w:tcW w:w="2268" w:type="dxa"/>
            <w:vAlign w:val="center"/>
          </w:tcPr>
          <w:p>
            <w:pPr>
              <w:pStyle w:val="28"/>
            </w:pPr>
            <w: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群众对代表履职情况的满意度</w:t>
            </w:r>
          </w:p>
        </w:tc>
        <w:tc>
          <w:tcPr>
            <w:tcW w:w="2551" w:type="dxa"/>
            <w:vAlign w:val="center"/>
          </w:tcPr>
          <w:p>
            <w:pPr>
              <w:pStyle w:val="28"/>
            </w:pPr>
            <w:r>
              <w:t>＞90群众满意度高于90%</w:t>
            </w:r>
          </w:p>
        </w:tc>
        <w:tc>
          <w:tcPr>
            <w:tcW w:w="2268" w:type="dxa"/>
            <w:vAlign w:val="center"/>
          </w:tcPr>
          <w:p>
            <w:pPr>
              <w:pStyle w:val="28"/>
            </w:pPr>
            <w:r>
              <w:t>依据相关政策文件确定</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2022年，玉田县人民代表大会常务委员会本级安排政府采购预算0.00万元。具体内容见下表。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101001玉田县人民代表大会常务委员会本级</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玉田县人民代表大会常务委员会本级上年末固定资产金额为1061600.00万元（详见下表）。本年度拟购置固定资产总额为0.00万元，已按要求列入政府采购预算，详见政府采购预算表。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101001玉田县人民代表大会常务委员会本级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1061600.00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5</w:t>
            </w:r>
          </w:p>
        </w:tc>
        <w:tc>
          <w:tcPr>
            <w:tcW w:w="2835" w:type="dxa"/>
            <w:vAlign w:val="center"/>
          </w:tcPr>
          <w:p>
            <w:pPr>
              <w:pStyle w:val="13"/>
            </w:pPr>
            <w:r>
              <w:t>1061600.00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E59A4"/>
    <w:rsid w:val="0BF10D2B"/>
    <w:rsid w:val="12283189"/>
    <w:rsid w:val="147C10DE"/>
    <w:rsid w:val="16794902"/>
    <w:rsid w:val="168F081D"/>
    <w:rsid w:val="1DDF39AE"/>
    <w:rsid w:val="1FB81A4E"/>
    <w:rsid w:val="221A1704"/>
    <w:rsid w:val="23940DD6"/>
    <w:rsid w:val="294C50D1"/>
    <w:rsid w:val="38895B97"/>
    <w:rsid w:val="3B5DF581"/>
    <w:rsid w:val="3B8B7AC1"/>
    <w:rsid w:val="3BD41618"/>
    <w:rsid w:val="4BDB9A7C"/>
    <w:rsid w:val="4CA5790E"/>
    <w:rsid w:val="508C4319"/>
    <w:rsid w:val="59E358AD"/>
    <w:rsid w:val="5D003A3E"/>
    <w:rsid w:val="6068306F"/>
    <w:rsid w:val="699809DF"/>
    <w:rsid w:val="6EFFC44D"/>
    <w:rsid w:val="7B4837A0"/>
    <w:rsid w:val="FC5995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e72ad8ee-cdad-436b-ac25-35dbaecdda29"/>
    <w:qFormat/>
    <w:uiPriority w:val="0"/>
    <w:rPr>
      <w:rFonts w:ascii="Times New Roman" w:hAnsi="Times New Roman" w:eastAsia="Times New Roman" w:cstheme="minorBidi"/>
      <w:sz w:val="24"/>
      <w:szCs w:val="24"/>
      <w:lang w:val="en-US" w:eastAsia="uk-UA" w:bidi="ar-SA"/>
    </w:rPr>
  </w:style>
  <w:style w:type="paragraph" w:customStyle="1" w:styleId="27">
    <w:name w:val="单元格样式1_35210d3c-7d63-4fe1-9a17-eaff882ba954"/>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79a5ed2e-eb80-41c9-a789-ea5c9057cdbd"/>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ce0230d8-b685-45b8-9c6b-8b2e42fe3160"/>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2022-02-08T17:17:00Z</dcterms:created>
  <dc:creator>yu</dc:creator>
  <cp:lastModifiedBy>Administrator</cp:lastModifiedBy>
  <dcterms:modified xsi:type="dcterms:W3CDTF">2025-07-18T03:39:14Z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D263192F187CD7E1A7942168E47A4018</vt:lpwstr>
  </property>
</Properties>
</file>